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D00B" w14:textId="77777777" w:rsidR="003C27E2" w:rsidRDefault="003C27E2">
      <w:pPr>
        <w:widowControl w:val="0"/>
        <w:pBdr>
          <w:top w:val="nil"/>
          <w:left w:val="nil"/>
          <w:bottom w:val="nil"/>
          <w:right w:val="nil"/>
          <w:between w:val="nil"/>
        </w:pBdr>
        <w:spacing w:after="0"/>
      </w:pPr>
    </w:p>
    <w:p w14:paraId="078DF1CB" w14:textId="77777777" w:rsidR="003C27E2" w:rsidRDefault="003C27E2">
      <w:pPr>
        <w:ind w:left="708" w:hanging="708"/>
        <w:jc w:val="center"/>
        <w:rPr>
          <w:rFonts w:ascii="Times New Roman" w:hAnsi="Times New Roman"/>
          <w:b/>
        </w:rPr>
      </w:pPr>
    </w:p>
    <w:p w14:paraId="6B81AA45" w14:textId="77777777" w:rsidR="003C27E2" w:rsidRDefault="00000000">
      <w:pPr>
        <w:ind w:left="708" w:hanging="708"/>
        <w:jc w:val="center"/>
        <w:rPr>
          <w:rFonts w:ascii="Times New Roman" w:hAnsi="Times New Roman"/>
          <w:b/>
        </w:rPr>
      </w:pPr>
      <w:r>
        <w:rPr>
          <w:rFonts w:ascii="Times New Roman" w:hAnsi="Times New Roman"/>
          <w:b/>
        </w:rPr>
        <w:t>RESOLUCIÓN 01 del 20 de Enero de 2025</w:t>
      </w:r>
    </w:p>
    <w:p w14:paraId="686E1BBD" w14:textId="77777777" w:rsidR="003C27E2" w:rsidRDefault="00000000">
      <w:pPr>
        <w:jc w:val="both"/>
        <w:rPr>
          <w:rFonts w:ascii="Times New Roman" w:hAnsi="Times New Roman"/>
        </w:rPr>
      </w:pPr>
      <w:r>
        <w:rPr>
          <w:rFonts w:ascii="Times New Roman" w:hAnsi="Times New Roman"/>
        </w:rPr>
        <w:t>Por el cual se establece el Estatuto de Protección de la Propiedad Intelectual y las Publicaciones del Centro de Investigación, Innovación y Desarrollo para la Sustentabilidad - CIIDES S.A.S BIC. La Asamblea General de Accionistas Fundadores en ejercicio de sus facultades legales, especialmente, las señaladas en el Estatuto General.</w:t>
      </w:r>
    </w:p>
    <w:p w14:paraId="632B1978" w14:textId="77777777" w:rsidR="003C27E2" w:rsidRDefault="00000000">
      <w:pPr>
        <w:ind w:left="708" w:hanging="708"/>
        <w:jc w:val="center"/>
        <w:rPr>
          <w:rFonts w:ascii="Times New Roman" w:hAnsi="Times New Roman"/>
          <w:b/>
          <w:i/>
        </w:rPr>
      </w:pPr>
      <w:r>
        <w:rPr>
          <w:rFonts w:ascii="Times New Roman" w:hAnsi="Times New Roman"/>
          <w:b/>
          <w:i/>
        </w:rPr>
        <w:t>CONSIDERANDO QUE</w:t>
      </w:r>
    </w:p>
    <w:p w14:paraId="077CFB72" w14:textId="77777777" w:rsidR="003C27E2" w:rsidRDefault="00000000">
      <w:pPr>
        <w:jc w:val="both"/>
        <w:rPr>
          <w:rFonts w:ascii="Times New Roman" w:hAnsi="Times New Roman"/>
        </w:rPr>
      </w:pPr>
      <w:r>
        <w:rPr>
          <w:rFonts w:ascii="Times New Roman" w:hAnsi="Times New Roman"/>
        </w:rPr>
        <w:t xml:space="preserve">Que la Editorial del Centro de Investigación, Innovación y Desarrollo para la Sustentabilidad - CIIDES S.A.S BIC (editorial CIIDES) pública obras mediante convocatorias públicas, convenios con otras instituciones, organizaciones sociales y de acuerdo con las necesidades del Centro y que responden al cumplimiento del objeto social y que se articulan a las necesidades educativas, culturales y sociales, mediante mecanismos y estrategias para la circulación y </w:t>
      </w:r>
      <w:proofErr w:type="spellStart"/>
      <w:r>
        <w:rPr>
          <w:rFonts w:ascii="Times New Roman" w:hAnsi="Times New Roman"/>
        </w:rPr>
        <w:t>visibilización</w:t>
      </w:r>
      <w:proofErr w:type="spellEnd"/>
      <w:r>
        <w:rPr>
          <w:rFonts w:ascii="Times New Roman" w:hAnsi="Times New Roman"/>
        </w:rPr>
        <w:t xml:space="preserve"> de la producción intelectual de la comunidad para un impacto social. Que el establecimiento de una política de protección de la propiedad intelectual y las publicaciones permite el intercambio cultural y científico, la transferencia de tecnología y facilita el desarrollo sostenible, por lo que se hace necesario expedir un reglamento que establezca una política clara sobre la titularidad de los derechos de propiedad intelectual así como los mecanismos, procedimientos y protocolos que garanticen la calidad de las publicaciones de la Editorial, el respeto de los derechos morales y el reconocimiento de derechos patrimoniales o de explotación económica de los resultados de ella.</w:t>
      </w:r>
    </w:p>
    <w:p w14:paraId="60C6F8A3" w14:textId="77777777" w:rsidR="003C27E2" w:rsidRDefault="00000000">
      <w:pPr>
        <w:spacing w:after="0"/>
        <w:jc w:val="both"/>
        <w:rPr>
          <w:rFonts w:ascii="Times New Roman" w:hAnsi="Times New Roman"/>
        </w:rPr>
      </w:pPr>
      <w:r>
        <w:rPr>
          <w:rFonts w:ascii="Times New Roman" w:hAnsi="Times New Roman"/>
        </w:rPr>
        <w:t>Que el Centro de Investigación, Innovación y Desarrollo para la Sustentabilidad - CIIDES S.A.S BIC (editorial CIIDES) tiene entre sus principios:</w:t>
      </w:r>
    </w:p>
    <w:p w14:paraId="4C3D7635" w14:textId="77777777" w:rsidR="003C27E2" w:rsidRDefault="00000000">
      <w:pPr>
        <w:numPr>
          <w:ilvl w:val="0"/>
          <w:numId w:val="1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b/>
          <w:color w:val="000000"/>
        </w:rPr>
        <w:t>Apropiación social del conocimiento:</w:t>
      </w:r>
      <w:r>
        <w:rPr>
          <w:rFonts w:ascii="Times New Roman" w:hAnsi="Times New Roman"/>
          <w:color w:val="000000"/>
        </w:rPr>
        <w:t xml:space="preserve"> La producción de saber generada en los procesos de investigación requiere el diseño de estrategias que propicien el diálogo no solo con las comunidades académicas y científicas, sino, fundamentalmente, con las comunidades y organizaciones sociales. Es en estos escenarios donde se valida el impacto del conocimiento en los contextos de actuación individual y </w:t>
      </w:r>
      <w:r>
        <w:rPr>
          <w:rFonts w:ascii="Times New Roman" w:hAnsi="Times New Roman"/>
        </w:rPr>
        <w:t>colectiva</w:t>
      </w:r>
      <w:r>
        <w:rPr>
          <w:rFonts w:ascii="Times New Roman" w:hAnsi="Times New Roman"/>
          <w:color w:val="000000"/>
        </w:rPr>
        <w:t>.</w:t>
      </w:r>
    </w:p>
    <w:p w14:paraId="6CECA5CB" w14:textId="77777777" w:rsidR="003C27E2" w:rsidRDefault="00000000">
      <w:pPr>
        <w:numPr>
          <w:ilvl w:val="0"/>
          <w:numId w:val="1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b/>
          <w:color w:val="000000"/>
        </w:rPr>
        <w:t>Democratización del saber:</w:t>
      </w:r>
      <w:r>
        <w:rPr>
          <w:rFonts w:ascii="Times New Roman" w:hAnsi="Times New Roman"/>
          <w:color w:val="000000"/>
        </w:rPr>
        <w:t xml:space="preserve"> La geopolítica del conocimiento, así como los avances en la investigación científica, social y humanística, exigen políticas públicas que garanticen el acceso libre y sin restricciones al conocimiento. Este acceso fortalece la democracia y permite su dinamización a partir de una ciudadanía más informada y participativa.</w:t>
      </w:r>
    </w:p>
    <w:p w14:paraId="4DA15515" w14:textId="77777777" w:rsidR="003C27E2" w:rsidRDefault="00000000">
      <w:pPr>
        <w:numPr>
          <w:ilvl w:val="0"/>
          <w:numId w:val="1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b/>
          <w:color w:val="000000"/>
        </w:rPr>
        <w:t>Innovación para el desarrollo humano y social:</w:t>
      </w:r>
      <w:r>
        <w:rPr>
          <w:rFonts w:ascii="Times New Roman" w:hAnsi="Times New Roman"/>
          <w:color w:val="000000"/>
        </w:rPr>
        <w:t xml:space="preserve"> Ante las crecientes demandas sociales y educativas, el desarrollo y la gestión del conocimiento deben orientarse hacia la creación de propuestas y proyectos innovadores que impulsen el cambio y amplíen las oportunidades de aprendizaje, reconociendo y dignificando las necesidades y aspiraciones de las comunidades.</w:t>
      </w:r>
    </w:p>
    <w:p w14:paraId="4149D587" w14:textId="77777777" w:rsidR="003C27E2" w:rsidRDefault="00000000">
      <w:pPr>
        <w:numPr>
          <w:ilvl w:val="0"/>
          <w:numId w:val="1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b/>
          <w:color w:val="000000"/>
        </w:rPr>
        <w:t>Formación ética y educación para la paz:</w:t>
      </w:r>
      <w:r>
        <w:rPr>
          <w:rFonts w:ascii="Times New Roman" w:hAnsi="Times New Roman"/>
          <w:color w:val="000000"/>
        </w:rPr>
        <w:t xml:space="preserve"> Una sociedad pluralista, incluyente y democrática necesita ciudadanos con capacidades éticas sólidas, capaces de contribuir activamente a la construcción de una sociedad fraterna, justa y en paz, desde sus distintos ámbitos de actuación.</w:t>
      </w:r>
    </w:p>
    <w:p w14:paraId="48918026" w14:textId="77777777" w:rsidR="003C27E2" w:rsidRDefault="00000000">
      <w:pPr>
        <w:numPr>
          <w:ilvl w:val="0"/>
          <w:numId w:val="11"/>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b/>
          <w:color w:val="000000"/>
        </w:rPr>
        <w:lastRenderedPageBreak/>
        <w:t>Cooperación y desarrollo:</w:t>
      </w:r>
      <w:r>
        <w:rPr>
          <w:rFonts w:ascii="Times New Roman" w:hAnsi="Times New Roman"/>
          <w:color w:val="000000"/>
        </w:rPr>
        <w:t xml:space="preserve"> El desarrollo comunitario y la transformación de realidades locales requieren alianzas estratégicas y trabajo colaborativo entre instituciones. Solo así es posible promover el cambio y empoderar a los ciudadanos en la realización de sus proyectos individuales y colectivos.</w:t>
      </w:r>
    </w:p>
    <w:p w14:paraId="10EDFF0F" w14:textId="77777777" w:rsidR="003C27E2" w:rsidRDefault="00000000">
      <w:pPr>
        <w:ind w:left="708" w:hanging="708"/>
        <w:rPr>
          <w:rFonts w:ascii="Times New Roman" w:hAnsi="Times New Roman"/>
        </w:rPr>
      </w:pPr>
      <w:r>
        <w:rPr>
          <w:rFonts w:ascii="Times New Roman" w:hAnsi="Times New Roman"/>
        </w:rPr>
        <w:t>Que en mérito de lo expuesto la Asamblea General de Accionistas Fundadores</w:t>
      </w:r>
    </w:p>
    <w:p w14:paraId="155EA058" w14:textId="77777777" w:rsidR="003C27E2" w:rsidRDefault="003C27E2">
      <w:pPr>
        <w:ind w:left="708" w:hanging="708"/>
        <w:jc w:val="center"/>
        <w:rPr>
          <w:rFonts w:ascii="Times New Roman" w:hAnsi="Times New Roman"/>
          <w:b/>
        </w:rPr>
      </w:pPr>
    </w:p>
    <w:p w14:paraId="6A3A04CA" w14:textId="77777777" w:rsidR="003C27E2" w:rsidRDefault="00000000">
      <w:pPr>
        <w:ind w:left="708" w:hanging="708"/>
        <w:jc w:val="center"/>
        <w:rPr>
          <w:rFonts w:ascii="Times New Roman" w:hAnsi="Times New Roman"/>
          <w:b/>
        </w:rPr>
      </w:pPr>
      <w:r>
        <w:rPr>
          <w:rFonts w:ascii="Times New Roman" w:hAnsi="Times New Roman"/>
          <w:b/>
        </w:rPr>
        <w:t>REGLAMENTA</w:t>
      </w:r>
    </w:p>
    <w:p w14:paraId="4ED6BBC2" w14:textId="77777777" w:rsidR="003C27E2" w:rsidRDefault="00000000">
      <w:pPr>
        <w:jc w:val="both"/>
        <w:rPr>
          <w:rFonts w:ascii="Times New Roman" w:hAnsi="Times New Roman"/>
        </w:rPr>
      </w:pPr>
      <w:r>
        <w:rPr>
          <w:rFonts w:ascii="Times New Roman" w:hAnsi="Times New Roman"/>
          <w:b/>
        </w:rPr>
        <w:t>ARTÍCULO 1. ÁMBITO DE APLICACIÓN</w:t>
      </w:r>
      <w:r>
        <w:rPr>
          <w:rFonts w:ascii="Times New Roman" w:hAnsi="Times New Roman"/>
        </w:rPr>
        <w:t>: El presente reglamento aplica a todos los miembros del centro y autores externos que aplican a las convocatorias y que se vinculan al mismo mediante contrato de edición u otras figuras contractuales. </w:t>
      </w:r>
    </w:p>
    <w:p w14:paraId="1EEDDD6A" w14:textId="77777777" w:rsidR="003C27E2" w:rsidRDefault="00000000">
      <w:pPr>
        <w:jc w:val="both"/>
        <w:rPr>
          <w:rFonts w:ascii="Times New Roman" w:hAnsi="Times New Roman"/>
        </w:rPr>
      </w:pPr>
      <w:r>
        <w:rPr>
          <w:rFonts w:ascii="Times New Roman" w:hAnsi="Times New Roman"/>
          <w:b/>
        </w:rPr>
        <w:t>ARTÍCULO 2. OBJETO</w:t>
      </w:r>
      <w:r>
        <w:rPr>
          <w:rFonts w:ascii="Times New Roman" w:hAnsi="Times New Roman"/>
        </w:rPr>
        <w:t>: Establecer la política y lineamientos organizacionales para la protección a los autores, creadores, inventores, obtentores y demás titulares de derechos, sobre las obras, según las leyes nacionales sobre propiedad intelectual y los tratados ratificados por Colombia sobre esta materia, la Constitución Política de Colombia. </w:t>
      </w:r>
    </w:p>
    <w:p w14:paraId="2654007A" w14:textId="77777777" w:rsidR="003C27E2" w:rsidRDefault="00000000">
      <w:pPr>
        <w:jc w:val="both"/>
        <w:rPr>
          <w:rFonts w:ascii="Times New Roman" w:hAnsi="Times New Roman"/>
        </w:rPr>
      </w:pPr>
      <w:r>
        <w:rPr>
          <w:rFonts w:ascii="Times New Roman" w:hAnsi="Times New Roman"/>
          <w:b/>
        </w:rPr>
        <w:t>ARTÍCULO 3. COMITÉ DE PROTECCIÓN DE LA PROPIEDAD INTELECTUAL Y LAS PUBLICACIONES</w:t>
      </w:r>
      <w:r>
        <w:rPr>
          <w:rFonts w:ascii="Times New Roman" w:hAnsi="Times New Roman"/>
        </w:rPr>
        <w:t>: El Comité realiza la coordinación y el seguimiento a este Reglamento; este se conformará por:</w:t>
      </w:r>
    </w:p>
    <w:p w14:paraId="7FA32168" w14:textId="77777777" w:rsidR="003C27E2" w:rsidRDefault="00000000">
      <w:pPr>
        <w:numPr>
          <w:ilvl w:val="0"/>
          <w:numId w:val="1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El presidente de la Asamblea General de Accionistas Fundadores o su delegado. </w:t>
      </w:r>
    </w:p>
    <w:p w14:paraId="304591DC" w14:textId="77777777" w:rsidR="003C27E2" w:rsidRDefault="00000000">
      <w:pPr>
        <w:numPr>
          <w:ilvl w:val="0"/>
          <w:numId w:val="1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El representante legal o su delegado.</w:t>
      </w:r>
    </w:p>
    <w:p w14:paraId="77F98128" w14:textId="2B8B41C4" w:rsidR="003C27E2" w:rsidRDefault="00000000">
      <w:pPr>
        <w:numPr>
          <w:ilvl w:val="0"/>
          <w:numId w:val="1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 xml:space="preserve">Dos </w:t>
      </w:r>
      <w:r w:rsidR="007E58B6">
        <w:rPr>
          <w:rFonts w:ascii="Times New Roman" w:hAnsi="Times New Roman"/>
          <w:color w:val="000000"/>
        </w:rPr>
        <w:t xml:space="preserve">miembros </w:t>
      </w:r>
      <w:r w:rsidR="0026664E">
        <w:rPr>
          <w:rFonts w:ascii="Times New Roman" w:hAnsi="Times New Roman"/>
          <w:color w:val="000000"/>
        </w:rPr>
        <w:t>del Comité Académico, Editorial y de Investigaciones.</w:t>
      </w:r>
    </w:p>
    <w:p w14:paraId="39DCCC60" w14:textId="57473AF6" w:rsidR="003C27E2" w:rsidRDefault="0026664E">
      <w:pPr>
        <w:numPr>
          <w:ilvl w:val="0"/>
          <w:numId w:val="1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El coordinador editorial.</w:t>
      </w:r>
    </w:p>
    <w:p w14:paraId="6699477A" w14:textId="4E9CDC0E" w:rsidR="003C27E2" w:rsidRDefault="0026664E">
      <w:pPr>
        <w:numPr>
          <w:ilvl w:val="0"/>
          <w:numId w:val="1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Un delegado de los Directores de Grupos de Investigación</w:t>
      </w:r>
      <w:r w:rsidR="00000000">
        <w:rPr>
          <w:rFonts w:ascii="Times New Roman" w:hAnsi="Times New Roman"/>
          <w:color w:val="000000"/>
        </w:rPr>
        <w:t>.</w:t>
      </w:r>
    </w:p>
    <w:p w14:paraId="215813E6" w14:textId="72B2E418" w:rsidR="003C27E2"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El editor quien realiza la secretaría técnica. </w:t>
      </w:r>
    </w:p>
    <w:p w14:paraId="4B002CB4" w14:textId="77777777" w:rsidR="003C27E2" w:rsidRDefault="00000000">
      <w:pPr>
        <w:ind w:left="708" w:hanging="708"/>
        <w:rPr>
          <w:rFonts w:ascii="Times New Roman" w:hAnsi="Times New Roman"/>
        </w:rPr>
      </w:pPr>
      <w:r>
        <w:rPr>
          <w:rFonts w:ascii="Times New Roman" w:hAnsi="Times New Roman"/>
        </w:rPr>
        <w:t>Siendo así, son funciones del Comité las siguientes:</w:t>
      </w:r>
    </w:p>
    <w:p w14:paraId="60BFE089" w14:textId="77777777" w:rsidR="003C27E2" w:rsidRDefault="00000000">
      <w:pPr>
        <w:numPr>
          <w:ilvl w:val="0"/>
          <w:numId w:val="1"/>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Discutir y diseñar las políticas editoriales del Centro.</w:t>
      </w:r>
    </w:p>
    <w:p w14:paraId="3C15DE3B" w14:textId="77777777" w:rsidR="003C27E2" w:rsidRDefault="00000000">
      <w:pPr>
        <w:numPr>
          <w:ilvl w:val="0"/>
          <w:numId w:val="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Establecer políticas de negociación y/o conciliación sobre los derechos derivados de la propiedad intelectual. </w:t>
      </w:r>
    </w:p>
    <w:p w14:paraId="2DFB5DF1" w14:textId="77777777" w:rsidR="003C27E2" w:rsidRDefault="00000000">
      <w:pPr>
        <w:numPr>
          <w:ilvl w:val="0"/>
          <w:numId w:val="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Proponer anualmente el plan de publicaciones del Centro.</w:t>
      </w:r>
    </w:p>
    <w:p w14:paraId="1F4FBE98" w14:textId="77777777" w:rsidR="003C27E2" w:rsidRDefault="00000000">
      <w:pPr>
        <w:numPr>
          <w:ilvl w:val="0"/>
          <w:numId w:val="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Crear, modificar o terminar las colecciones y las líneas editoriales que sean pertinentes para el Centro.</w:t>
      </w:r>
    </w:p>
    <w:p w14:paraId="514F911A" w14:textId="77777777" w:rsidR="003C27E2" w:rsidRDefault="00000000">
      <w:pPr>
        <w:numPr>
          <w:ilvl w:val="0"/>
          <w:numId w:val="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Aprobar las publicaciones y hacer recomendaciones en materia editorial.</w:t>
      </w:r>
    </w:p>
    <w:p w14:paraId="747E8203" w14:textId="77777777" w:rsidR="003C27E2" w:rsidRDefault="00000000">
      <w:pPr>
        <w:numPr>
          <w:ilvl w:val="0"/>
          <w:numId w:val="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Proponer estrategias de coedición con instituciones educativas, sociales y culturales. </w:t>
      </w:r>
    </w:p>
    <w:p w14:paraId="344E98B0" w14:textId="77777777" w:rsidR="003C27E2" w:rsidRDefault="00000000">
      <w:pPr>
        <w:numPr>
          <w:ilvl w:val="0"/>
          <w:numId w:val="1"/>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Diseñar estrategias para el perfeccionamiento de la Editorial del Centro y su posicionamiento </w:t>
      </w:r>
      <w:r>
        <w:rPr>
          <w:rFonts w:ascii="Times New Roman" w:hAnsi="Times New Roman"/>
        </w:rPr>
        <w:t>en el contexto</w:t>
      </w:r>
      <w:r>
        <w:rPr>
          <w:rFonts w:ascii="Times New Roman" w:hAnsi="Times New Roman"/>
          <w:color w:val="000000"/>
        </w:rPr>
        <w:t xml:space="preserve"> nacional e internacional.</w:t>
      </w:r>
    </w:p>
    <w:p w14:paraId="46446B7C" w14:textId="77777777" w:rsidR="003C27E2" w:rsidRDefault="00000000">
      <w:pPr>
        <w:numPr>
          <w:ilvl w:val="0"/>
          <w:numId w:val="1"/>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Acompañar los distintos proyectos editoriales.  </w:t>
      </w:r>
    </w:p>
    <w:p w14:paraId="49DC3BD4" w14:textId="77777777" w:rsidR="003C27E2" w:rsidRDefault="00000000">
      <w:pPr>
        <w:numPr>
          <w:ilvl w:val="0"/>
          <w:numId w:val="1"/>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Velar por el cumplimiento de las políticas, normatividad y reglamentación relativas a la propiedad intelectual.  </w:t>
      </w:r>
    </w:p>
    <w:p w14:paraId="20F00E4E" w14:textId="77777777" w:rsidR="003C27E2" w:rsidRDefault="00000000">
      <w:pPr>
        <w:jc w:val="both"/>
        <w:rPr>
          <w:rFonts w:ascii="Times New Roman" w:hAnsi="Times New Roman"/>
        </w:rPr>
      </w:pPr>
      <w:r>
        <w:rPr>
          <w:rFonts w:ascii="Times New Roman" w:hAnsi="Times New Roman"/>
          <w:b/>
        </w:rPr>
        <w:lastRenderedPageBreak/>
        <w:t>Parágrafo 1:</w:t>
      </w:r>
      <w:r>
        <w:rPr>
          <w:rFonts w:ascii="Times New Roman" w:hAnsi="Times New Roman"/>
        </w:rPr>
        <w:t xml:space="preserve"> Las decisiones del Comité se tomarán por mayoría simple (la mitad más uno de los presentes con derecho a voto) y quedarán registradas en actas. </w:t>
      </w:r>
      <w:r>
        <w:rPr>
          <w:rFonts w:ascii="Times New Roman" w:hAnsi="Times New Roman"/>
          <w:b/>
        </w:rPr>
        <w:t>Parágrafo 2:</w:t>
      </w:r>
      <w:r>
        <w:rPr>
          <w:rFonts w:ascii="Times New Roman" w:hAnsi="Times New Roman"/>
        </w:rPr>
        <w:t xml:space="preserve"> Se podrán tomar decisiones utilizando los medios electrónicos que faciliten la comunicación y la verificación eficaz. </w:t>
      </w:r>
    </w:p>
    <w:p w14:paraId="34619B75" w14:textId="77777777" w:rsidR="003C27E2" w:rsidRDefault="00000000">
      <w:pPr>
        <w:jc w:val="both"/>
        <w:rPr>
          <w:rFonts w:ascii="Times New Roman" w:hAnsi="Times New Roman"/>
        </w:rPr>
      </w:pPr>
      <w:r>
        <w:rPr>
          <w:rFonts w:ascii="Times New Roman" w:hAnsi="Times New Roman"/>
          <w:b/>
        </w:rPr>
        <w:t>ARTÍCULO 4. PROPIEDAD INTELECTUAL</w:t>
      </w:r>
      <w:r>
        <w:rPr>
          <w:rFonts w:ascii="Times New Roman" w:hAnsi="Times New Roman"/>
        </w:rPr>
        <w:t>: Se concibe como aquellos derechos y prerrogativas sobre las creaciones del intelecto humano, que en cualquier campo del saber puedan ser objeto de definición, reproducción, utilización o expresión por cualquier medio conocido o por conocer. Su protección comprende: </w:t>
      </w:r>
    </w:p>
    <w:p w14:paraId="1F95982B" w14:textId="77777777" w:rsidR="003C27E2" w:rsidRDefault="00000000">
      <w:pPr>
        <w:numPr>
          <w:ilvl w:val="0"/>
          <w:numId w:val="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Derechos de autor y derechos conexos.</w:t>
      </w:r>
    </w:p>
    <w:p w14:paraId="48FB7A18" w14:textId="77777777" w:rsidR="003C27E2" w:rsidRDefault="00000000">
      <w:pPr>
        <w:numPr>
          <w:ilvl w:val="0"/>
          <w:numId w:val="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Los derechos de propiedad industrial.</w:t>
      </w:r>
    </w:p>
    <w:p w14:paraId="7287C7B4" w14:textId="77777777" w:rsidR="003C27E2" w:rsidRDefault="00000000">
      <w:pPr>
        <w:numPr>
          <w:ilvl w:val="0"/>
          <w:numId w:val="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Los circuitos integrados.</w:t>
      </w:r>
    </w:p>
    <w:p w14:paraId="5E052E30" w14:textId="77777777" w:rsidR="003C27E2" w:rsidRDefault="00000000">
      <w:pPr>
        <w:numPr>
          <w:ilvl w:val="0"/>
          <w:numId w:val="2"/>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 biotecnología.</w:t>
      </w:r>
    </w:p>
    <w:p w14:paraId="07C9D390" w14:textId="77777777" w:rsidR="003C27E2" w:rsidRDefault="00000000">
      <w:pPr>
        <w:numPr>
          <w:ilvl w:val="0"/>
          <w:numId w:val="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Los conocimientos tradicionales de comunidades indígenas y afrodescendientes. </w:t>
      </w:r>
    </w:p>
    <w:p w14:paraId="64C5F2E8" w14:textId="77777777" w:rsidR="003C27E2" w:rsidRDefault="00000000">
      <w:pPr>
        <w:ind w:left="708" w:hanging="708"/>
        <w:jc w:val="both"/>
        <w:rPr>
          <w:rFonts w:ascii="Times New Roman" w:hAnsi="Times New Roman"/>
        </w:rPr>
      </w:pPr>
      <w:r>
        <w:rPr>
          <w:rFonts w:ascii="Times New Roman" w:hAnsi="Times New Roman"/>
          <w:b/>
          <w:i/>
        </w:rPr>
        <w:t>TIPOS DE PROPIEDAD INTELECTUAL</w:t>
      </w:r>
      <w:r>
        <w:rPr>
          <w:rFonts w:ascii="Times New Roman" w:hAnsi="Times New Roman"/>
        </w:rPr>
        <w:t>: Según la Sociedad Mundial de la Propiedad Intelectual se clasifican en: </w:t>
      </w:r>
    </w:p>
    <w:p w14:paraId="1904A5F2" w14:textId="77777777" w:rsidR="003C27E2" w:rsidRDefault="00000000">
      <w:pPr>
        <w:numPr>
          <w:ilvl w:val="0"/>
          <w:numId w:val="3"/>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Derecho de autor: Son los derechos de los creadores sobre sus obras literarias y artísticas. Pueden ser libros, la música, la pintura, la escultura y las películas hasta los programas informáticos, las bases de datos, las publicidades, los mapas y los dibujos técnicos. </w:t>
      </w:r>
    </w:p>
    <w:p w14:paraId="625EEB76" w14:textId="77777777" w:rsidR="003C27E2" w:rsidRDefault="00000000">
      <w:pPr>
        <w:numPr>
          <w:ilvl w:val="0"/>
          <w:numId w:val="3"/>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Patentes: Es un derecho exclusivo que se concede sobre una invención. Una patente faculta a su titular a decidir si la invención puede ser utilizada por terceros y, en ese caso, de qué forma. Como contrapartida de ese derecho, en el documento de patente publicado, el titular de la patente pone a disposición del público la información técnica relativa a la invención. (Definición OMPI). </w:t>
      </w:r>
    </w:p>
    <w:p w14:paraId="6E7BF0B2" w14:textId="77777777" w:rsidR="003C27E2" w:rsidRDefault="00000000">
      <w:pPr>
        <w:numPr>
          <w:ilvl w:val="0"/>
          <w:numId w:val="3"/>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Marcas: Una marca es un signo que permite diferenciar los productos o servicios de una empresa de los de las demás. Las marcas se remontan a los tiempos en que los artesanos </w:t>
      </w:r>
      <w:r>
        <w:rPr>
          <w:rFonts w:ascii="Times New Roman" w:hAnsi="Times New Roman"/>
        </w:rPr>
        <w:t>producían</w:t>
      </w:r>
      <w:r>
        <w:rPr>
          <w:rFonts w:ascii="Times New Roman" w:hAnsi="Times New Roman"/>
          <w:color w:val="000000"/>
        </w:rPr>
        <w:t xml:space="preserve"> sus firmas o “marcas” en sus productos. (Definición OMPI).</w:t>
      </w:r>
    </w:p>
    <w:p w14:paraId="23CDCCE9" w14:textId="77777777" w:rsidR="003C27E2" w:rsidRDefault="00000000">
      <w:pPr>
        <w:numPr>
          <w:ilvl w:val="0"/>
          <w:numId w:val="3"/>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Diseños industriales: Un diseño industrial (dibujo o modelo industrial) constituye el aspecto ornamental o estético de un artículo. El diseño puede consistir en rasgos tridimensionales, como la forma o la superficie de un artículo, o en rasgos bidimensionales, como motivos, líneas o colores (Definición OMPI) </w:t>
      </w:r>
    </w:p>
    <w:p w14:paraId="293ABDDE" w14:textId="77777777" w:rsidR="003C27E2" w:rsidRDefault="00000000">
      <w:pPr>
        <w:numPr>
          <w:ilvl w:val="0"/>
          <w:numId w:val="3"/>
        </w:numPr>
        <w:pBdr>
          <w:top w:val="nil"/>
          <w:left w:val="nil"/>
          <w:bottom w:val="nil"/>
          <w:right w:val="nil"/>
          <w:between w:val="nil"/>
        </w:pBdr>
        <w:spacing w:after="160" w:line="259" w:lineRule="auto"/>
        <w:jc w:val="both"/>
        <w:rPr>
          <w:rFonts w:ascii="Times New Roman" w:hAnsi="Times New Roman"/>
          <w:color w:val="000000"/>
        </w:rPr>
      </w:pPr>
      <w:r>
        <w:rPr>
          <w:rFonts w:ascii="Times New Roman" w:hAnsi="Times New Roman"/>
          <w:color w:val="000000"/>
        </w:rPr>
        <w:t>Indicaciones geográficas: es un signo utilizado para productos que tienen un origen geográfico concreto y cuyas cualidades, reputación o características se deben esencialmente a su lugar de origen. Por lo general, la indicación geográfica consiste en el nombre del lugar de origen de los productos. (Definición OMPI) </w:t>
      </w:r>
    </w:p>
    <w:p w14:paraId="4D92C277" w14:textId="77777777" w:rsidR="003C27E2" w:rsidRDefault="00000000">
      <w:pPr>
        <w:jc w:val="both"/>
        <w:rPr>
          <w:rFonts w:ascii="Times New Roman" w:hAnsi="Times New Roman"/>
        </w:rPr>
      </w:pPr>
      <w:r>
        <w:rPr>
          <w:rFonts w:ascii="Times New Roman" w:hAnsi="Times New Roman"/>
          <w:b/>
        </w:rPr>
        <w:t>ARTÍCULO 5. DEFINICIÓN DE DERECHO DE AUTOR Y DERECHOS CONEXOS</w:t>
      </w:r>
      <w:r>
        <w:rPr>
          <w:rFonts w:ascii="Times New Roman" w:hAnsi="Times New Roman"/>
        </w:rPr>
        <w:t>: Es el conjunto de normas que protegen a los autores con el fin de que estos puedan ejercer el control sobre el uso y la explotación de sus obras. </w:t>
      </w:r>
    </w:p>
    <w:p w14:paraId="123B40C0" w14:textId="77777777" w:rsidR="003C27E2" w:rsidRDefault="00000000">
      <w:pPr>
        <w:jc w:val="both"/>
        <w:rPr>
          <w:rFonts w:ascii="Times New Roman" w:hAnsi="Times New Roman"/>
        </w:rPr>
      </w:pPr>
      <w:r>
        <w:rPr>
          <w:rFonts w:ascii="Times New Roman" w:hAnsi="Times New Roman"/>
          <w:b/>
        </w:rPr>
        <w:t>ARTÍCULO 6. DEFINICIÓN DE AUTOR:</w:t>
      </w:r>
      <w:r>
        <w:rPr>
          <w:rFonts w:ascii="Times New Roman" w:hAnsi="Times New Roman"/>
        </w:rPr>
        <w:t xml:space="preserve"> Persona individual o natural, titular de los derechos morales y patrimoniales, que, de manera efectiva, realiza, acaba o materializa una obra protegida por derecho de autor. </w:t>
      </w:r>
    </w:p>
    <w:p w14:paraId="062FC059" w14:textId="77777777" w:rsidR="003C27E2" w:rsidRDefault="00000000">
      <w:pPr>
        <w:rPr>
          <w:rFonts w:ascii="Times New Roman" w:hAnsi="Times New Roman"/>
        </w:rPr>
      </w:pPr>
      <w:r>
        <w:rPr>
          <w:rFonts w:ascii="Times New Roman" w:hAnsi="Times New Roman"/>
          <w:b/>
        </w:rPr>
        <w:lastRenderedPageBreak/>
        <w:t>ARTÍCULO 7. DEFINICIÓN DE OBRA:</w:t>
      </w:r>
      <w:r>
        <w:rPr>
          <w:rFonts w:ascii="Times New Roman" w:hAnsi="Times New Roman"/>
        </w:rPr>
        <w:t xml:space="preserve"> Es la expresión personal de la inteligencia manifestada de forma perceptible y original, susceptible de ser reproducida o divulgada. </w:t>
      </w:r>
    </w:p>
    <w:p w14:paraId="70F2CB74" w14:textId="77777777" w:rsidR="003C27E2" w:rsidRDefault="00000000">
      <w:pPr>
        <w:jc w:val="both"/>
        <w:rPr>
          <w:rFonts w:ascii="Times New Roman" w:hAnsi="Times New Roman"/>
        </w:rPr>
      </w:pPr>
      <w:r>
        <w:rPr>
          <w:rFonts w:ascii="Times New Roman" w:hAnsi="Times New Roman"/>
          <w:b/>
        </w:rPr>
        <w:t>ARTÍCULO 8. DEFINICIÓN DE DERECHOS CONEXOS</w:t>
      </w:r>
      <w:r>
        <w:rPr>
          <w:rFonts w:ascii="Times New Roman" w:hAnsi="Times New Roman"/>
        </w:rPr>
        <w:t>: Derechos que le asisten a los artistas, intérpretes o ejecutantes, los productores de fonogramas y organismos de radiodifusión. Estos titulares de derechos llevan a cabo actividades vinculadas de manera conexa a la utilización de las obras literarias, artísticas o científicas.  </w:t>
      </w:r>
    </w:p>
    <w:p w14:paraId="2D741907" w14:textId="77777777" w:rsidR="003C27E2" w:rsidRDefault="00000000">
      <w:pPr>
        <w:rPr>
          <w:rFonts w:ascii="Times New Roman" w:hAnsi="Times New Roman"/>
        </w:rPr>
      </w:pPr>
      <w:r>
        <w:rPr>
          <w:rFonts w:ascii="Times New Roman" w:hAnsi="Times New Roman"/>
          <w:b/>
        </w:rPr>
        <w:t>ARTÍCULO 9. DEFINICIÓN DE INTÉRPRETE O EJECUTANTE</w:t>
      </w:r>
      <w:r>
        <w:rPr>
          <w:rFonts w:ascii="Times New Roman" w:hAnsi="Times New Roman"/>
        </w:rPr>
        <w:t>: El intérprete o ejecutante es la persona que representa, canta, lee, recita, interpreta o ejecuta en cualquier forma de obra. </w:t>
      </w:r>
    </w:p>
    <w:p w14:paraId="59F0ECFF" w14:textId="77777777" w:rsidR="003C27E2" w:rsidRDefault="00000000">
      <w:pPr>
        <w:rPr>
          <w:rFonts w:ascii="Times New Roman" w:hAnsi="Times New Roman"/>
        </w:rPr>
      </w:pPr>
      <w:r>
        <w:rPr>
          <w:rFonts w:ascii="Times New Roman" w:hAnsi="Times New Roman"/>
          <w:b/>
        </w:rPr>
        <w:t>ARTÍCULO 10. PROTECCIÓN DEL DERECHO DE AUTOR</w:t>
      </w:r>
      <w:r>
        <w:rPr>
          <w:rFonts w:ascii="Times New Roman" w:hAnsi="Times New Roman"/>
        </w:rPr>
        <w:t>: Son susceptibles de protección de derechos de autor: </w:t>
      </w:r>
    </w:p>
    <w:p w14:paraId="0AC0C91C"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 obra literaria: Libros, folletos y cualquier tipo de obra expresada mediante letras, signos, marcas o convenciones. También las antologías, compilaciones de obras que por la selección o disposición de las materias constituyan creaciones personales como enciclopedias o colecciones; sin perjuicio de los derechos de los autores que hacen parte de ellas. </w:t>
      </w:r>
    </w:p>
    <w:p w14:paraId="20EFDBD0"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El soporte lógico y </w:t>
      </w:r>
      <w:r>
        <w:rPr>
          <w:rFonts w:ascii="Times New Roman" w:hAnsi="Times New Roman"/>
          <w:i/>
          <w:color w:val="000000"/>
        </w:rPr>
        <w:t>software</w:t>
      </w:r>
      <w:r>
        <w:rPr>
          <w:rFonts w:ascii="Times New Roman" w:hAnsi="Times New Roman"/>
          <w:color w:val="000000"/>
        </w:rPr>
        <w:t>: En materia de derechos de autor se le da el mismo tratamiento que el de la obra literaria. El soporte lógico comprende uno o varios de estos elementos: el programa de computador, la descripción de programa y el material auxiliar. La protección se extiende tanto a los programas operativos como a los aplicativos, ya sea en forma de código fuente o código objeto. Adicionalmente, se incluyen, las bases de datos, siempre y cuando su disposición o selección de materias constituyan una creación intelectual y los multimedios.  </w:t>
      </w:r>
    </w:p>
    <w:p w14:paraId="2CD08D96"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intervenciones en todos los campos de la actividad humana tales como conferencias, alocuciones, sermones y otras obras de la misma naturaleza. </w:t>
      </w:r>
    </w:p>
    <w:p w14:paraId="57D470DB"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composiciones musicales con o sin letra. </w:t>
      </w:r>
    </w:p>
    <w:p w14:paraId="0BFA78B3"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obras dramáticas, obras dramáticas-musicales, coreografías, pantomimas, obras cinematográficas. </w:t>
      </w:r>
    </w:p>
    <w:p w14:paraId="22F5172A"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obras derivadas como traducciones, adaptaciones, arreglos musicales de una obra literaria o artística que están protegidas como obras originales, sin perjuicio de los derechos del autor original.</w:t>
      </w:r>
    </w:p>
    <w:p w14:paraId="2F865936"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obras arquitectónicas.  </w:t>
      </w:r>
    </w:p>
    <w:p w14:paraId="501933E0"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obras de arte aplicado, el arte figurativo, pinturas, grabados, litografías, obras de dibujo y arquitectura, esculturas, obras fotográficas, ilustraciones, mapas, planos, croquis, bosquejos, obras tridimensionales relativas a la geografía, a la topografía, la arquitectura, o a las ciencias, entre otras formas de manifestación, sin que importe su mérito, calidad, destinación. </w:t>
      </w:r>
    </w:p>
    <w:p w14:paraId="71E7E83F" w14:textId="77777777" w:rsidR="003C27E2" w:rsidRDefault="00000000">
      <w:pPr>
        <w:numPr>
          <w:ilvl w:val="0"/>
          <w:numId w:val="4"/>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Las antologías o compilaciones de obras diversas y las bases de datos, que por la selección o disposición de las materias constituyan creación.  </w:t>
      </w:r>
    </w:p>
    <w:p w14:paraId="68C5AADA" w14:textId="77777777" w:rsidR="003C27E2" w:rsidRDefault="00000000">
      <w:pPr>
        <w:numPr>
          <w:ilvl w:val="0"/>
          <w:numId w:val="4"/>
        </w:numPr>
        <w:pBdr>
          <w:top w:val="nil"/>
          <w:left w:val="nil"/>
          <w:bottom w:val="nil"/>
          <w:right w:val="nil"/>
          <w:between w:val="nil"/>
        </w:pBdr>
        <w:spacing w:after="160" w:line="259" w:lineRule="auto"/>
        <w:jc w:val="both"/>
        <w:rPr>
          <w:rFonts w:ascii="Times New Roman" w:hAnsi="Times New Roman"/>
          <w:color w:val="000000"/>
        </w:rPr>
      </w:pPr>
      <w:r>
        <w:rPr>
          <w:rFonts w:ascii="Times New Roman" w:hAnsi="Times New Roman"/>
          <w:color w:val="000000"/>
        </w:rPr>
        <w:t>Cualquier clase de obra que cumpla con los requisitos de ser la manifestación del intelecto humano expresado en un medio que pueda ser aprehendido por cualquiera de los sentidos y reproducido o difundido, que constituya una creación intelectual o tenga originalidad, sin importar el mérito o su contenido. </w:t>
      </w:r>
    </w:p>
    <w:p w14:paraId="023851AE" w14:textId="77777777" w:rsidR="003C27E2" w:rsidRDefault="00000000">
      <w:pPr>
        <w:ind w:left="708" w:hanging="708"/>
        <w:rPr>
          <w:rFonts w:ascii="Times New Roman" w:hAnsi="Times New Roman"/>
          <w:b/>
        </w:rPr>
      </w:pPr>
      <w:r>
        <w:rPr>
          <w:rFonts w:ascii="Times New Roman" w:hAnsi="Times New Roman"/>
          <w:b/>
        </w:rPr>
        <w:t>ARTÍCULO 11. CONTENIDO DEL DERECHO DE AUTOR:</w:t>
      </w:r>
    </w:p>
    <w:p w14:paraId="45A22394" w14:textId="77777777" w:rsidR="003C27E2" w:rsidRDefault="00000000">
      <w:pPr>
        <w:numPr>
          <w:ilvl w:val="0"/>
          <w:numId w:val="5"/>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lastRenderedPageBreak/>
        <w:t>Derechos morales: Los derechos morales son ilimitados en el tiempo o perpetuos, son irrenunciables, inalienables, imprescriptibles e inembargables. Se constituyen en los derechos de respeto de la personalidad del autor como creador de la obra y del decoro de la obra misma. Facultan al autor para: </w:t>
      </w:r>
    </w:p>
    <w:p w14:paraId="783BB46A" w14:textId="77777777" w:rsidR="003C27E2" w:rsidRDefault="00000000">
      <w:pPr>
        <w:numPr>
          <w:ilvl w:val="0"/>
          <w:numId w:val="5"/>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Reclamar la paternidad de la obra: El autor tiene la facultad de reivindicar la paternidad de la obra en cualquier momento, bajo su nombre, pseudónimo y/o anónimo.</w:t>
      </w:r>
    </w:p>
    <w:p w14:paraId="25853A93" w14:textId="77777777" w:rsidR="003C27E2" w:rsidRDefault="00000000">
      <w:pPr>
        <w:numPr>
          <w:ilvl w:val="0"/>
          <w:numId w:val="5"/>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Reclamar la integridad de la obra: Lo faculta para oponerse a toda deformación, mutilación o modificación, cuando éstas puedan causar o causen perjuicios a su honor o reputación. </w:t>
      </w:r>
    </w:p>
    <w:p w14:paraId="0324DAD2" w14:textId="77777777" w:rsidR="003C27E2" w:rsidRDefault="00000000">
      <w:pPr>
        <w:numPr>
          <w:ilvl w:val="0"/>
          <w:numId w:val="5"/>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Decidir acerca de la difusión o </w:t>
      </w:r>
      <w:proofErr w:type="spellStart"/>
      <w:r>
        <w:rPr>
          <w:rFonts w:ascii="Times New Roman" w:hAnsi="Times New Roman"/>
          <w:color w:val="000000"/>
        </w:rPr>
        <w:t>ineditud</w:t>
      </w:r>
      <w:proofErr w:type="spellEnd"/>
      <w:r>
        <w:rPr>
          <w:rFonts w:ascii="Times New Roman" w:hAnsi="Times New Roman"/>
          <w:color w:val="000000"/>
        </w:rPr>
        <w:t xml:space="preserve"> de la obra: Comprende la facultad del autor para decidir si dará a conocer su obra y en qué forma, o si la mantendrá reservada en la esfera de su intimidad.  </w:t>
      </w:r>
    </w:p>
    <w:p w14:paraId="37EB4D5B" w14:textId="77777777" w:rsidR="003C27E2" w:rsidRDefault="00000000">
      <w:pPr>
        <w:numPr>
          <w:ilvl w:val="0"/>
          <w:numId w:val="5"/>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Publicación, modificación </w:t>
      </w:r>
      <w:r>
        <w:rPr>
          <w:rFonts w:ascii="Times New Roman" w:hAnsi="Times New Roman"/>
        </w:rPr>
        <w:t>post publicación</w:t>
      </w:r>
      <w:r>
        <w:rPr>
          <w:rFonts w:ascii="Times New Roman" w:hAnsi="Times New Roman"/>
          <w:color w:val="000000"/>
        </w:rPr>
        <w:t>: El autor tiene la facultad de modificar o corregir su obra, sin embargo, puede haber lugar a la indemnización de los perjuicios que cause al editor con su modificación, o los derivados del incumplimiento de un contrato.  f. El retracto o arrepentimiento: El autor tiene la facultad de arrepentirse de la publicación de su obra: antes o después de su publicación, puede retirarla de circulación, sin perjuicio de las indemnizaciones a que haya lugar, por el acaecimiento del incumplimiento de contrato y/o los perjuicios que se causen al editor. </w:t>
      </w:r>
    </w:p>
    <w:p w14:paraId="59037633" w14:textId="77777777" w:rsidR="003C27E2" w:rsidRDefault="00000000">
      <w:pPr>
        <w:numPr>
          <w:ilvl w:val="0"/>
          <w:numId w:val="5"/>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Derechos patrimoniales: Los derechos patrimoniales son prerrogativas que facultan al autor para ejercer control sobre los actos de explotación económica de su obra. En virtud de ello puede autorizar, prohibir o restringir: </w:t>
      </w:r>
    </w:p>
    <w:p w14:paraId="74DA60B6" w14:textId="77777777" w:rsidR="003C27E2" w:rsidRDefault="00000000">
      <w:pPr>
        <w:numPr>
          <w:ilvl w:val="0"/>
          <w:numId w:val="6"/>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 reproducción,  </w:t>
      </w:r>
    </w:p>
    <w:p w14:paraId="78BD0C51" w14:textId="77777777" w:rsidR="003C27E2" w:rsidRDefault="00000000">
      <w:pPr>
        <w:numPr>
          <w:ilvl w:val="0"/>
          <w:numId w:val="6"/>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 distribución (venta, alquiler, préstamo público e importación), </w:t>
      </w:r>
    </w:p>
    <w:p w14:paraId="078E7657" w14:textId="77777777" w:rsidR="003C27E2" w:rsidRDefault="00000000">
      <w:pPr>
        <w:numPr>
          <w:ilvl w:val="0"/>
          <w:numId w:val="6"/>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 modificación o transformación (correcciones, traducciones, adaptaciones), </w:t>
      </w:r>
    </w:p>
    <w:p w14:paraId="7F5EA545" w14:textId="77777777" w:rsidR="003C27E2" w:rsidRDefault="00000000">
      <w:pPr>
        <w:numPr>
          <w:ilvl w:val="0"/>
          <w:numId w:val="6"/>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 publicación por cualquier medio,  </w:t>
      </w:r>
    </w:p>
    <w:p w14:paraId="6CF734B6" w14:textId="77777777" w:rsidR="003C27E2" w:rsidRDefault="00000000">
      <w:pPr>
        <w:numPr>
          <w:ilvl w:val="0"/>
          <w:numId w:val="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La comunicación, radiodifusión e interpretación o ejecuciones públicas.  </w:t>
      </w:r>
    </w:p>
    <w:p w14:paraId="62AE127E" w14:textId="77777777" w:rsidR="003C27E2" w:rsidRDefault="00000000">
      <w:pPr>
        <w:rPr>
          <w:rFonts w:ascii="Times New Roman" w:hAnsi="Times New Roman"/>
        </w:rPr>
      </w:pPr>
      <w:r>
        <w:rPr>
          <w:rFonts w:ascii="Times New Roman" w:hAnsi="Times New Roman"/>
          <w:b/>
        </w:rPr>
        <w:t>ARTÍCULO 12. OBRAS EN EL DOMINIO PÚBLICO</w:t>
      </w:r>
      <w:r>
        <w:rPr>
          <w:rFonts w:ascii="Times New Roman" w:hAnsi="Times New Roman"/>
        </w:rPr>
        <w:t>: Las obras que se encuentran en el dominio público son:</w:t>
      </w:r>
    </w:p>
    <w:p w14:paraId="4B0846A9" w14:textId="77777777" w:rsidR="003C27E2" w:rsidRDefault="00000000">
      <w:pPr>
        <w:numPr>
          <w:ilvl w:val="0"/>
          <w:numId w:val="7"/>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Las obras cuyo plazo de protección ha expirado; </w:t>
      </w:r>
    </w:p>
    <w:p w14:paraId="178BA7E6" w14:textId="77777777" w:rsidR="003C27E2" w:rsidRDefault="00000000">
      <w:pPr>
        <w:numPr>
          <w:ilvl w:val="0"/>
          <w:numId w:val="7"/>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Las obras cuyo titular ha renunciado a los derechos; </w:t>
      </w:r>
    </w:p>
    <w:p w14:paraId="63B4E89C" w14:textId="77777777" w:rsidR="003C27E2" w:rsidRDefault="00000000">
      <w:pPr>
        <w:numPr>
          <w:ilvl w:val="0"/>
          <w:numId w:val="7"/>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Las obras tradicionales y folclóricas de autor desconocido;  </w:t>
      </w:r>
    </w:p>
    <w:p w14:paraId="2E4CA282" w14:textId="77777777" w:rsidR="003C27E2" w:rsidRDefault="00000000">
      <w:pPr>
        <w:numPr>
          <w:ilvl w:val="0"/>
          <w:numId w:val="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Las obras extranjeras que no gocen de protección en el país. </w:t>
      </w:r>
    </w:p>
    <w:p w14:paraId="4D03160A" w14:textId="77777777" w:rsidR="003C27E2" w:rsidRDefault="00000000">
      <w:pPr>
        <w:jc w:val="both"/>
        <w:rPr>
          <w:rFonts w:ascii="Times New Roman" w:hAnsi="Times New Roman"/>
        </w:rPr>
      </w:pPr>
      <w:r>
        <w:rPr>
          <w:rFonts w:ascii="Times New Roman" w:hAnsi="Times New Roman"/>
          <w:b/>
        </w:rPr>
        <w:t>PARÁGRAFO:</w:t>
      </w:r>
      <w:r>
        <w:rPr>
          <w:rFonts w:ascii="Times New Roman" w:hAnsi="Times New Roman"/>
        </w:rPr>
        <w:t xml:space="preserve"> Cualquier miembro del Centro puede usar o explotar sin autorización previa y expresa del autor o titular, las obras que se encuentran en el dominio público, sin pretexto del reconocimiento de los derechos morales que asisten de manera perpetua a los autores. Para el efecto, están en el dominio público: a) las obras cuyo plazo de protección ha expirado, b) obras cuyo titular ha renunciado a los derechos patrimoniales, c) las obras tradicionales y folclóricas de autor desconocido y d) las obras extranjeras que no gocen de protección en el país. </w:t>
      </w:r>
    </w:p>
    <w:p w14:paraId="0A715C0C" w14:textId="77777777" w:rsidR="003C27E2" w:rsidRDefault="00000000">
      <w:pPr>
        <w:rPr>
          <w:rFonts w:ascii="Times New Roman" w:hAnsi="Times New Roman"/>
        </w:rPr>
      </w:pPr>
      <w:r>
        <w:rPr>
          <w:rFonts w:ascii="Times New Roman" w:hAnsi="Times New Roman"/>
          <w:b/>
        </w:rPr>
        <w:t xml:space="preserve">ARTÍCULO 13. CLASIFICACIÓN DE LAS OBRAS: </w:t>
      </w:r>
      <w:r>
        <w:rPr>
          <w:rFonts w:ascii="Times New Roman" w:hAnsi="Times New Roman"/>
        </w:rPr>
        <w:t>A continuación, se describe las clasificaciones que se ubican dentro del centro:</w:t>
      </w:r>
    </w:p>
    <w:p w14:paraId="39E4E6BE" w14:textId="77777777" w:rsidR="003C27E2" w:rsidRDefault="00000000">
      <w:pPr>
        <w:numPr>
          <w:ilvl w:val="0"/>
          <w:numId w:val="8"/>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Obras originales: Es la obra creada de manera primigenia. </w:t>
      </w:r>
    </w:p>
    <w:p w14:paraId="1D74CB36"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lastRenderedPageBreak/>
        <w:t>Obra derivada: Obra realizada sobre la base de una o varias obras preexistentes, pero cuya elaboración, por su originalidad, se constituye en un acto creativo, sin que su autor </w:t>
      </w:r>
    </w:p>
    <w:p w14:paraId="24A49556"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original participe en su concreción. La creación de este tipo de obra requiere de la autorización previa y expresa del autor originario, salvo en el caso de tratarse de obras que se encuentren en el dominio público. </w:t>
      </w:r>
    </w:p>
    <w:p w14:paraId="5901B8FE"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Obra anónima: Aquellas en que no se menciona el nombre del autor, por voluntad de </w:t>
      </w:r>
      <w:r>
        <w:rPr>
          <w:rFonts w:ascii="Times New Roman" w:hAnsi="Times New Roman"/>
        </w:rPr>
        <w:t>éste</w:t>
      </w:r>
      <w:r>
        <w:rPr>
          <w:rFonts w:ascii="Times New Roman" w:hAnsi="Times New Roman"/>
          <w:color w:val="000000"/>
        </w:rPr>
        <w:t>, o por ser ignorado.  </w:t>
      </w:r>
    </w:p>
    <w:p w14:paraId="3222BD51"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seudónima: Aquellas en que el autor se oculta bajo un seudónimo que no lo identifica. No se aplica a la obra en la cual el nombre utilizado por su autor no permite dudas acerca de su verdadera identidad. </w:t>
      </w:r>
    </w:p>
    <w:p w14:paraId="79C5AC7B"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inédita: Es aquella obra que no ha sido dada a conocer al público.  </w:t>
      </w:r>
    </w:p>
    <w:p w14:paraId="2F76E5A4"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publicada: Cuando la obra se ha hecho accesible al público por cualquier medio o procedimiento o cuando se han producido ejemplares de ella puestos al alcance del público con el consentimiento del titular del respectivo derecho, siempre que la disponibilidad de tales ejemplares satisfaga las necesidades del público, teniendo en cuenta la naturaleza de la obra. </w:t>
      </w:r>
    </w:p>
    <w:p w14:paraId="7F54A143"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póstuma: Es aquella que no ha sido divulgada durante la vida del autor. En el momento de ser divulgada posterior a la muerte del autor, es importante determinar si no fue publicada por voluntad del autor tratándose de obra inédita o si los sucesores del autor tienen el derecho o no a darla a conocer.  </w:t>
      </w:r>
    </w:p>
    <w:p w14:paraId="6CBB7BA0"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abandonada: Es aquella inédita y anónima de la cual se ignora quién es su autor. </w:t>
      </w:r>
    </w:p>
    <w:p w14:paraId="6F82A5BA"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agotada: Es aquella de la cual no se pueden adquirir ejemplares debido a que no se encuentra disponible a través de los canales normales o legales de comercialización.  </w:t>
      </w:r>
    </w:p>
    <w:p w14:paraId="021CD379"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por encargo: Realizada por una persona natural en el desarrollo de las funciones o el objeto de su relación laboral, contractual o cualquier tipo de vinculación con la Universidad, quien recibe como remuneración a la creación, honorarios, salario o compensación. La persona natural es titular de los derechos morales de autor y la Universidad es la titular de los derechos patrimoniales o de explotación económica, salvo pacto contrario o diferente. </w:t>
      </w:r>
    </w:p>
    <w:p w14:paraId="26E98906"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Obra colectiva: Realizada por un grupo de autores bajo la dirección, financiamiento, cuenta y riesgo del Instituto o instituciones cooperantes o </w:t>
      </w:r>
      <w:r>
        <w:rPr>
          <w:rFonts w:ascii="Times New Roman" w:hAnsi="Times New Roman"/>
        </w:rPr>
        <w:t>cofinanciadas</w:t>
      </w:r>
      <w:r>
        <w:rPr>
          <w:rFonts w:ascii="Times New Roman" w:hAnsi="Times New Roman"/>
          <w:color w:val="000000"/>
        </w:rPr>
        <w:t>, quien o quienes orientan el trabajo y los compensa o remunera por la creación de la obra.  </w:t>
      </w:r>
    </w:p>
    <w:p w14:paraId="683A6A45"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Obra en colaboración: Realizada por medio de la participación de varias personas, teniendo en cuenta una contribución individual para la realización de una obra común, donde los aportes de cada autor no pueden ser separados sin que la obra pierda su naturaleza. </w:t>
      </w:r>
    </w:p>
    <w:p w14:paraId="240BC7AA" w14:textId="77777777" w:rsidR="003C27E2" w:rsidRDefault="00000000">
      <w:pPr>
        <w:numPr>
          <w:ilvl w:val="0"/>
          <w:numId w:val="8"/>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Explotación de la propiedad. El Centro podrá aprovechar los recursos que dejan su propiedad intelectual para el cumplimiento de misión, ya sea por medio de la explotación comercial directa o delegada, o el otorgamiento de licencias a terceros.  </w:t>
      </w:r>
    </w:p>
    <w:p w14:paraId="72F77C21" w14:textId="77777777" w:rsidR="003C27E2" w:rsidRDefault="00000000">
      <w:pPr>
        <w:numPr>
          <w:ilvl w:val="0"/>
          <w:numId w:val="8"/>
        </w:numPr>
        <w:pBdr>
          <w:top w:val="nil"/>
          <w:left w:val="nil"/>
          <w:bottom w:val="nil"/>
          <w:right w:val="nil"/>
          <w:between w:val="nil"/>
        </w:pBdr>
        <w:spacing w:after="160" w:line="259" w:lineRule="auto"/>
        <w:jc w:val="both"/>
        <w:rPr>
          <w:rFonts w:ascii="Times New Roman" w:hAnsi="Times New Roman"/>
          <w:color w:val="000000"/>
        </w:rPr>
      </w:pPr>
      <w:r>
        <w:rPr>
          <w:rFonts w:ascii="Times New Roman" w:hAnsi="Times New Roman"/>
          <w:color w:val="000000"/>
        </w:rPr>
        <w:t xml:space="preserve">Regalías. En los casos en que el Centro licencie, transfiera o explote comercialmente su propiedad intelectual (derechos de propiedad industrial, derecho de autor y obtención de  variedades vegetales), reconocerá, por medio de resolución del representante legal, participación económica en los beneficios netos de la comercialización o del licenciamiento de las patentes o registros, a los autores, inventores o diseñadores que hayan realizado aportes importantes al desarrollo u obtención del producto, detentando su condición vigente en calidad de profesores, estudiantes, </w:t>
      </w:r>
      <w:r>
        <w:rPr>
          <w:rFonts w:ascii="Times New Roman" w:hAnsi="Times New Roman"/>
        </w:rPr>
        <w:t>o</w:t>
      </w:r>
      <w:r>
        <w:rPr>
          <w:rFonts w:ascii="Times New Roman" w:hAnsi="Times New Roman"/>
          <w:color w:val="000000"/>
        </w:rPr>
        <w:t xml:space="preserve"> servidores del centro.</w:t>
      </w:r>
    </w:p>
    <w:p w14:paraId="1B61E0BF" w14:textId="77777777" w:rsidR="003C27E2" w:rsidRDefault="00000000">
      <w:pPr>
        <w:jc w:val="both"/>
        <w:rPr>
          <w:rFonts w:ascii="Times New Roman" w:hAnsi="Times New Roman"/>
        </w:rPr>
      </w:pPr>
      <w:r>
        <w:rPr>
          <w:rFonts w:ascii="Times New Roman" w:hAnsi="Times New Roman"/>
          <w:b/>
        </w:rPr>
        <w:lastRenderedPageBreak/>
        <w:t>ARTÍCULO 14. TIEMPO DE LOS DERECHOS MORALES:</w:t>
      </w:r>
      <w:r>
        <w:rPr>
          <w:rFonts w:ascii="Times New Roman" w:hAnsi="Times New Roman"/>
        </w:rPr>
        <w:t xml:space="preserve"> Los derechos morales de autor corresponden, en cuanto a su ejercicio, al autor durante su vida y a los herederos y/o otros causahabientes después de su muerte. Facultan al autor para reivindicar en todo tiempo la paternidad de la obra, oponerse a toda deformación que demerite su creación, publicarla o conservarla inédita, modificarla y a retirarla de circulación y se caracterizan por ser intransferibles, irrenunciables e imprescriptibles. En razón de ello, la transmisión de derechos de autor sólo puede involucrar derechos patrimoniales. </w:t>
      </w:r>
    </w:p>
    <w:p w14:paraId="14F7C24D" w14:textId="77777777" w:rsidR="003C27E2" w:rsidRDefault="00000000">
      <w:pPr>
        <w:jc w:val="both"/>
        <w:rPr>
          <w:rFonts w:ascii="Times New Roman" w:hAnsi="Times New Roman"/>
        </w:rPr>
      </w:pPr>
      <w:r>
        <w:rPr>
          <w:rFonts w:ascii="Times New Roman" w:hAnsi="Times New Roman"/>
          <w:b/>
        </w:rPr>
        <w:t xml:space="preserve">ARTÍCULO 15. CONTRATO DE CESIÓN DE DERECHOS PATRIMONIALES DE AUTOR: </w:t>
      </w:r>
      <w:r>
        <w:rPr>
          <w:rFonts w:ascii="Times New Roman" w:hAnsi="Times New Roman"/>
        </w:rPr>
        <w:t>Es el contrato mediante el cual el titular originario de derechos o el autor, siendo el cedente, se desprende de sus derechos patrimoniales, convirtiendo al cesionario o a quien se convertirá en el nuevo titular de los derechos por virtud de la transferencia, en el titular derivado de dichos derechos. En el caso de que la cesión sea parcial, los autores conservarán las prerrogativas que no han transferido expresamente.  </w:t>
      </w:r>
    </w:p>
    <w:p w14:paraId="7FE5BF50" w14:textId="77777777" w:rsidR="003C27E2" w:rsidRDefault="00000000">
      <w:pPr>
        <w:jc w:val="both"/>
        <w:rPr>
          <w:rFonts w:ascii="Times New Roman" w:hAnsi="Times New Roman"/>
        </w:rPr>
      </w:pPr>
      <w:r>
        <w:rPr>
          <w:rFonts w:ascii="Times New Roman" w:hAnsi="Times New Roman"/>
          <w:b/>
        </w:rPr>
        <w:t>PARÁGRAFO 1.</w:t>
      </w:r>
      <w:r>
        <w:rPr>
          <w:rFonts w:ascii="Times New Roman" w:hAnsi="Times New Roman"/>
        </w:rPr>
        <w:t xml:space="preserve"> La cesión del derecho patrimonial, o de cualquiera de sus aspectos, no confiere al cesionario, o a quien los adquiere, ningún derecho de exclusividad en la explotación de ese derecho; por esta razón la obtención del derecho de exclusividad sobre cualquier forma de uso o la explotación de una obra, requiere ser pactada expresamente en el contrato.  </w:t>
      </w:r>
    </w:p>
    <w:p w14:paraId="2BE95ADF" w14:textId="77777777" w:rsidR="003C27E2" w:rsidRDefault="00000000">
      <w:pPr>
        <w:jc w:val="both"/>
        <w:rPr>
          <w:rFonts w:ascii="Times New Roman" w:hAnsi="Times New Roman"/>
        </w:rPr>
      </w:pPr>
      <w:r>
        <w:rPr>
          <w:rFonts w:ascii="Times New Roman" w:hAnsi="Times New Roman"/>
          <w:b/>
        </w:rPr>
        <w:t>PARÁGRAFO 2.</w:t>
      </w:r>
      <w:r>
        <w:rPr>
          <w:rFonts w:ascii="Times New Roman" w:hAnsi="Times New Roman"/>
        </w:rPr>
        <w:t xml:space="preserve"> La cesión total o parcial de los derechos patrimoniales puede ser a título gratuito u oneroso. A falta de voluntad expresa de las partes, el contrato de cesión se presume oneroso, en tal caso implica una contraprestación económica en favor del autor cedente o titular primigenio o de los derechos patrimoniales. </w:t>
      </w:r>
    </w:p>
    <w:p w14:paraId="324FEBC3" w14:textId="77777777" w:rsidR="003C27E2" w:rsidRDefault="00000000">
      <w:pPr>
        <w:jc w:val="both"/>
        <w:rPr>
          <w:rFonts w:ascii="Times New Roman" w:hAnsi="Times New Roman"/>
        </w:rPr>
      </w:pPr>
      <w:r>
        <w:rPr>
          <w:rFonts w:ascii="Times New Roman" w:hAnsi="Times New Roman"/>
          <w:b/>
        </w:rPr>
        <w:t>ARTÍCULO 16. ADQUISICIÓN DE DERECHOS PATRIMONIALES:</w:t>
      </w:r>
      <w:r>
        <w:rPr>
          <w:rFonts w:ascii="Times New Roman" w:hAnsi="Times New Roman"/>
        </w:rPr>
        <w:t xml:space="preserve"> Los contratos mediante los cuales la Centro adquiera derechos patrimoniales sobre obras protegidas por derechos de autor o derechos conexos, ya sea a título oneroso o gratuito, o cuando ésta encargue la elaboración de la obra, o se licencie su uso o explotación, deberá prever cláusulas sobre el alcance y contenido de los derechos patrimoniales, las modalidades de explotación previstas, su término de duración, la remuneración o porcentaje de participación de los autores en los beneficios que arroje la explotación económica de la obra si hay lugar a ello, las cláusulas de confidencialidad de la información y de exclusividad ––en el caso de existir secretos  empresariales o información secreta o reservada––.</w:t>
      </w:r>
    </w:p>
    <w:p w14:paraId="3F146E02" w14:textId="77777777" w:rsidR="003C27E2" w:rsidRDefault="00000000">
      <w:pPr>
        <w:jc w:val="both"/>
        <w:rPr>
          <w:rFonts w:ascii="Times New Roman" w:hAnsi="Times New Roman"/>
        </w:rPr>
      </w:pPr>
      <w:r>
        <w:rPr>
          <w:rFonts w:ascii="Times New Roman" w:hAnsi="Times New Roman"/>
          <w:b/>
        </w:rPr>
        <w:t>ARTÍCULO 17. LA EDITORIAL DEL INSTITUTO</w:t>
      </w:r>
      <w:r>
        <w:rPr>
          <w:rFonts w:ascii="Times New Roman" w:hAnsi="Times New Roman"/>
        </w:rPr>
        <w:t>: Mediante acuerdo 02 del 23 de agosto de 2017 la Asamblea General de Accionistas creó la editorial como la única instancia encarga de los proceso de edición, impresión y comercialización de los contenidos editoriales que se desarrollen de los proyectos del Centro, sus alianzas y compra de derechos patrimoniales. </w:t>
      </w:r>
    </w:p>
    <w:p w14:paraId="0DCD1839" w14:textId="77777777" w:rsidR="003C27E2" w:rsidRDefault="00000000">
      <w:pPr>
        <w:jc w:val="both"/>
        <w:rPr>
          <w:rFonts w:ascii="Times New Roman" w:hAnsi="Times New Roman"/>
        </w:rPr>
      </w:pPr>
      <w:r>
        <w:rPr>
          <w:rFonts w:ascii="Times New Roman" w:hAnsi="Times New Roman"/>
          <w:b/>
        </w:rPr>
        <w:t>PARÁGRAFO:</w:t>
      </w:r>
      <w:r>
        <w:rPr>
          <w:rFonts w:ascii="Times New Roman" w:hAnsi="Times New Roman"/>
        </w:rPr>
        <w:t xml:space="preserve"> Autorizar al representante legal de registrar la Editorial CIIDES del Centro antes de las instancias nacionales que sean necesarias como por ejemplo La Cámara Colombiana del Libro, Biblioteca Nacional de Colombia y la Agencia Colombiana del ISBN, entre otras. </w:t>
      </w:r>
    </w:p>
    <w:p w14:paraId="1026FFDA" w14:textId="77777777" w:rsidR="003C27E2" w:rsidRDefault="00000000">
      <w:pPr>
        <w:jc w:val="both"/>
        <w:rPr>
          <w:rFonts w:ascii="Times New Roman" w:hAnsi="Times New Roman"/>
        </w:rPr>
      </w:pPr>
      <w:r>
        <w:rPr>
          <w:rFonts w:ascii="Times New Roman" w:hAnsi="Times New Roman"/>
          <w:b/>
        </w:rPr>
        <w:t>ARTÍCULO 18. CARACTERÍSTICAS DE PROYECTOS EDITORIALES DEL CENTRO</w:t>
      </w:r>
      <w:r>
        <w:rPr>
          <w:rFonts w:ascii="Times New Roman" w:hAnsi="Times New Roman"/>
        </w:rPr>
        <w:t>. El Centro desarrolla proyectos editoriales de distinta naturaleza y características, así: </w:t>
      </w:r>
    </w:p>
    <w:p w14:paraId="43320A10"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lastRenderedPageBreak/>
        <w:t>Libro resultado de investigación.  </w:t>
      </w:r>
    </w:p>
    <w:p w14:paraId="71B8E6AB"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Libro académico.  </w:t>
      </w:r>
    </w:p>
    <w:p w14:paraId="5D762CAC"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Libro de texto.  </w:t>
      </w:r>
    </w:p>
    <w:p w14:paraId="199CBABF"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Material educativo y didáctico.  </w:t>
      </w:r>
    </w:p>
    <w:p w14:paraId="2CB4F952"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Libro producto de trabajo de grado de programas de pregrado y posgrado</w:t>
      </w:r>
    </w:p>
    <w:p w14:paraId="35CD80A7"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Revistas.  </w:t>
      </w:r>
    </w:p>
    <w:p w14:paraId="27CD538C"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Obras literarias y artísticas. </w:t>
      </w:r>
    </w:p>
    <w:p w14:paraId="0B0AE346"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Libro de interés general. </w:t>
      </w:r>
    </w:p>
    <w:p w14:paraId="3BBDBDDC" w14:textId="77777777" w:rsidR="003C27E2" w:rsidRDefault="00000000">
      <w:pPr>
        <w:numPr>
          <w:ilvl w:val="0"/>
          <w:numId w:val="9"/>
        </w:numPr>
        <w:pBdr>
          <w:top w:val="nil"/>
          <w:left w:val="nil"/>
          <w:bottom w:val="nil"/>
          <w:right w:val="nil"/>
          <w:between w:val="nil"/>
        </w:pBdr>
        <w:spacing w:after="0" w:line="259" w:lineRule="auto"/>
        <w:rPr>
          <w:rFonts w:ascii="Times New Roman" w:hAnsi="Times New Roman"/>
          <w:color w:val="000000"/>
        </w:rPr>
      </w:pPr>
      <w:r>
        <w:rPr>
          <w:rFonts w:ascii="Times New Roman" w:hAnsi="Times New Roman"/>
          <w:color w:val="000000"/>
        </w:rPr>
        <w:t xml:space="preserve">Obras de soporte lógico y </w:t>
      </w:r>
      <w:r>
        <w:rPr>
          <w:rFonts w:ascii="Times New Roman" w:hAnsi="Times New Roman"/>
          <w:i/>
          <w:color w:val="000000"/>
        </w:rPr>
        <w:t>software</w:t>
      </w:r>
      <w:r>
        <w:rPr>
          <w:rFonts w:ascii="Times New Roman" w:hAnsi="Times New Roman"/>
          <w:color w:val="000000"/>
        </w:rPr>
        <w:t>. </w:t>
      </w:r>
    </w:p>
    <w:p w14:paraId="79297B0F" w14:textId="77777777" w:rsidR="003C27E2" w:rsidRDefault="00000000">
      <w:pPr>
        <w:numPr>
          <w:ilvl w:val="0"/>
          <w:numId w:val="9"/>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Obra de interés institucional. </w:t>
      </w:r>
    </w:p>
    <w:p w14:paraId="4762DBFF" w14:textId="77777777" w:rsidR="003C27E2" w:rsidRDefault="00000000">
      <w:pPr>
        <w:jc w:val="both"/>
        <w:rPr>
          <w:rFonts w:ascii="Times New Roman" w:hAnsi="Times New Roman"/>
        </w:rPr>
      </w:pPr>
      <w:r>
        <w:rPr>
          <w:rFonts w:ascii="Times New Roman" w:hAnsi="Times New Roman"/>
          <w:b/>
        </w:rPr>
        <w:t>ARTÍCULO 19. CATÁLOGO DE PUBLICACIONES:</w:t>
      </w:r>
      <w:r>
        <w:rPr>
          <w:rFonts w:ascii="Times New Roman" w:hAnsi="Times New Roman"/>
        </w:rPr>
        <w:t xml:space="preserve"> Cada año el Comité de Propiedad Intelectual y de Publicaciones elaborará un catálogo de publicaciones que contemple las series o colecciones, obras por encargo, traducciones, adquisición de derechos y propuestas individuales o colectivas publicadas durante la vigencia.</w:t>
      </w:r>
    </w:p>
    <w:p w14:paraId="369E8E8B" w14:textId="77777777" w:rsidR="003C27E2" w:rsidRDefault="00000000">
      <w:pPr>
        <w:jc w:val="both"/>
        <w:rPr>
          <w:rFonts w:ascii="Times New Roman" w:hAnsi="Times New Roman"/>
        </w:rPr>
      </w:pPr>
      <w:r>
        <w:rPr>
          <w:rFonts w:ascii="Times New Roman" w:hAnsi="Times New Roman"/>
          <w:b/>
        </w:rPr>
        <w:t>ARTÍCULO 20. MECANISMOS DE PUBLICACIÓN:</w:t>
      </w:r>
      <w:r>
        <w:rPr>
          <w:rFonts w:ascii="Times New Roman" w:hAnsi="Times New Roman"/>
        </w:rPr>
        <w:t xml:space="preserve"> Los mecanismos para publicación en la Editorial del Centro se realizan mediante convocatorias, compra de derecho patrimoniales, por encargo, resultados de alianzas de coedición o por selección del Representante Legal, Coordinadora Editorial o de órganos de gobierno corporativo del Centro.</w:t>
      </w:r>
    </w:p>
    <w:p w14:paraId="7BCF3A37" w14:textId="77777777" w:rsidR="003C27E2" w:rsidRDefault="00000000">
      <w:pPr>
        <w:jc w:val="both"/>
        <w:rPr>
          <w:rFonts w:ascii="Times New Roman" w:hAnsi="Times New Roman"/>
        </w:rPr>
      </w:pPr>
      <w:r>
        <w:rPr>
          <w:rFonts w:ascii="Times New Roman" w:hAnsi="Times New Roman"/>
          <w:b/>
        </w:rPr>
        <w:t>ARTÍCULO 21. EVALUACIÓN ACADÉMICA Y EDITORIAL:</w:t>
      </w:r>
      <w:r>
        <w:rPr>
          <w:rFonts w:ascii="Times New Roman" w:hAnsi="Times New Roman"/>
        </w:rPr>
        <w:t xml:space="preserve"> Los proyectos editoriales que se realizan en el Centro deben ser sometidas a un proceso de evaluación académica y editorial que busca la calidad, pertinencia y rigor teórico y metodológico.  </w:t>
      </w:r>
    </w:p>
    <w:p w14:paraId="57F95A5F" w14:textId="77777777" w:rsidR="003C27E2" w:rsidRDefault="00000000">
      <w:pPr>
        <w:jc w:val="both"/>
        <w:rPr>
          <w:rFonts w:ascii="Times New Roman" w:hAnsi="Times New Roman"/>
        </w:rPr>
      </w:pPr>
      <w:r>
        <w:rPr>
          <w:rFonts w:ascii="Times New Roman" w:hAnsi="Times New Roman"/>
          <w:b/>
        </w:rPr>
        <w:t>PARÁGRAFO 1</w:t>
      </w:r>
      <w:r>
        <w:rPr>
          <w:rFonts w:ascii="Times New Roman" w:hAnsi="Times New Roman"/>
        </w:rPr>
        <w:t xml:space="preserve">. La evaluación académica se realizará bajo la modalidad de </w:t>
      </w:r>
      <w:r>
        <w:rPr>
          <w:rFonts w:ascii="Times New Roman" w:hAnsi="Times New Roman"/>
          <w:i/>
        </w:rPr>
        <w:t>doble ciego</w:t>
      </w:r>
      <w:r>
        <w:rPr>
          <w:rFonts w:ascii="Times New Roman" w:hAnsi="Times New Roman"/>
        </w:rPr>
        <w:t xml:space="preserve">, el concepto se consignará en el formato que el Comité disponga para este fin y se expresará en los siguientes términos: publicable, publicable con recomendaciones o no publicable. </w:t>
      </w:r>
      <w:r>
        <w:rPr>
          <w:rFonts w:ascii="Times New Roman" w:hAnsi="Times New Roman"/>
          <w:b/>
        </w:rPr>
        <w:t>PARÁGRAFO 2.</w:t>
      </w:r>
      <w:r>
        <w:rPr>
          <w:rFonts w:ascii="Times New Roman" w:hAnsi="Times New Roman"/>
        </w:rPr>
        <w:t xml:space="preserve"> Cuando los conceptos de los dos evaluadores no coincidan, el Comité podrá, si lo considera necesario, convocar a un tercer evaluador, cuyo concepto dirimirá el conflicto. Si éste no se resuelve, el comité procederá a hacerlo a partir de la valoración de los conceptos emitidos.  </w:t>
      </w:r>
    </w:p>
    <w:p w14:paraId="140CDB3C" w14:textId="77777777" w:rsidR="003C27E2" w:rsidRDefault="00000000">
      <w:pPr>
        <w:jc w:val="both"/>
        <w:rPr>
          <w:rFonts w:ascii="Times New Roman" w:hAnsi="Times New Roman"/>
        </w:rPr>
      </w:pPr>
      <w:r>
        <w:rPr>
          <w:rFonts w:ascii="Times New Roman" w:hAnsi="Times New Roman"/>
          <w:b/>
        </w:rPr>
        <w:t>ARTÍCULO 22. DIFUSIÓN, GESTIÓN Y APROPIACIÓN SOCIAL DEL CONOCIMIENTO.</w:t>
      </w:r>
      <w:r>
        <w:rPr>
          <w:rFonts w:ascii="Times New Roman" w:hAnsi="Times New Roman"/>
        </w:rPr>
        <w:t xml:space="preserve"> La Editorial del Centro diseñará con cada proyecto editorial una estrategia de </w:t>
      </w:r>
      <w:proofErr w:type="spellStart"/>
      <w:r>
        <w:rPr>
          <w:rFonts w:ascii="Times New Roman" w:hAnsi="Times New Roman"/>
        </w:rPr>
        <w:t>visibilización</w:t>
      </w:r>
      <w:proofErr w:type="spellEnd"/>
      <w:r>
        <w:rPr>
          <w:rFonts w:ascii="Times New Roman" w:hAnsi="Times New Roman"/>
        </w:rPr>
        <w:t>, difusión, circulación, comercialización y apropiación social del conocimiento en el que se incluyen distribución nacional e internacional, presentación de la obra, conversatorios con los autores.  </w:t>
      </w:r>
    </w:p>
    <w:p w14:paraId="4C4355C7" w14:textId="77777777" w:rsidR="003C27E2" w:rsidRDefault="00000000">
      <w:pPr>
        <w:jc w:val="both"/>
        <w:rPr>
          <w:rFonts w:ascii="Times New Roman" w:hAnsi="Times New Roman"/>
        </w:rPr>
      </w:pPr>
      <w:bookmarkStart w:id="0" w:name="_heading=h.gd1gnplbqc4j" w:colFirst="0" w:colLast="0"/>
      <w:bookmarkEnd w:id="0"/>
      <w:r>
        <w:rPr>
          <w:rFonts w:ascii="Times New Roman" w:hAnsi="Times New Roman"/>
          <w:b/>
        </w:rPr>
        <w:t>ARTÍCULO 23. CONTRATO DE EDICIÓN.</w:t>
      </w:r>
      <w:r>
        <w:rPr>
          <w:rFonts w:ascii="Times New Roman" w:hAnsi="Times New Roman"/>
        </w:rPr>
        <w:t xml:space="preserve"> Por este contrato el titular del derecho de autor de una obra literaria, artística o científica, se obliga a entregarla al Centro quien se compromete a publicarla con las características gráficas propias de las colecciones. Todos contrato de edición que el</w:t>
      </w:r>
      <w:r>
        <w:t xml:space="preserve"> </w:t>
      </w:r>
      <w:r>
        <w:rPr>
          <w:rFonts w:ascii="Times New Roman" w:hAnsi="Times New Roman"/>
        </w:rPr>
        <w:t>Centro celebre se deberá especificar si se trata de la edición de una obra por encargo, en la cual se aclara la presunción de ley que el autor o autores ceden la totalidad de sus derechos patrimoniales por el hecho de la realización de la creación u obra en desarrollo de un objeto contractual, función, labor con el Instituto. </w:t>
      </w:r>
    </w:p>
    <w:p w14:paraId="4E3E89FC" w14:textId="77777777" w:rsidR="003C27E2" w:rsidRDefault="00000000">
      <w:pPr>
        <w:jc w:val="both"/>
        <w:rPr>
          <w:rFonts w:ascii="Times New Roman" w:hAnsi="Times New Roman"/>
        </w:rPr>
      </w:pPr>
      <w:r>
        <w:rPr>
          <w:rFonts w:ascii="Times New Roman" w:hAnsi="Times New Roman"/>
          <w:b/>
        </w:rPr>
        <w:lastRenderedPageBreak/>
        <w:t>ARTÍCULO 24. REGISTROS DE LA PRODUCCIÓN INTELECTUAL DEL CENTRO:</w:t>
      </w:r>
      <w:r>
        <w:rPr>
          <w:rFonts w:ascii="Times New Roman" w:hAnsi="Times New Roman"/>
        </w:rPr>
        <w:t xml:space="preserve"> El Centro gestionará los registros de International Standard Book </w:t>
      </w:r>
      <w:proofErr w:type="spellStart"/>
      <w:r>
        <w:rPr>
          <w:rFonts w:ascii="Times New Roman" w:hAnsi="Times New Roman"/>
        </w:rPr>
        <w:t>Number</w:t>
      </w:r>
      <w:proofErr w:type="spellEnd"/>
      <w:r>
        <w:rPr>
          <w:rFonts w:ascii="Times New Roman" w:hAnsi="Times New Roman"/>
        </w:rPr>
        <w:t xml:space="preserve"> (ISBN), el International Standard Serial </w:t>
      </w:r>
      <w:proofErr w:type="spellStart"/>
      <w:r>
        <w:rPr>
          <w:rFonts w:ascii="Times New Roman" w:hAnsi="Times New Roman"/>
        </w:rPr>
        <w:t>Number</w:t>
      </w:r>
      <w:proofErr w:type="spellEnd"/>
      <w:r>
        <w:rPr>
          <w:rFonts w:ascii="Times New Roman" w:hAnsi="Times New Roman"/>
        </w:rPr>
        <w:t xml:space="preserve"> (ISSN) y el número Internacional Normalizado  para Música (ISMN) de acuerdo con las normas internacionales de producción y protección de  contenidos en los diferentes formatos y contenidos de contenidos para el desarrollo de procesos  de aprendizaje virtual. </w:t>
      </w:r>
    </w:p>
    <w:p w14:paraId="50406874" w14:textId="77777777" w:rsidR="003C27E2" w:rsidRDefault="00000000">
      <w:pPr>
        <w:rPr>
          <w:rFonts w:ascii="Times New Roman" w:hAnsi="Times New Roman"/>
        </w:rPr>
      </w:pPr>
      <w:r>
        <w:rPr>
          <w:rFonts w:ascii="Times New Roman" w:hAnsi="Times New Roman"/>
          <w:b/>
        </w:rPr>
        <w:t>ARTÍCULO 25. CONTENIDO DE LA PROPIEDAD INDUSTRIAL:</w:t>
      </w:r>
      <w:r>
        <w:rPr>
          <w:rFonts w:ascii="Times New Roman" w:hAnsi="Times New Roman"/>
        </w:rPr>
        <w:t xml:space="preserve"> Hacen parte de la propiedad industrial del Centro: </w:t>
      </w:r>
    </w:p>
    <w:p w14:paraId="51F41729" w14:textId="77777777" w:rsidR="003C27E2" w:rsidRDefault="00000000">
      <w:pPr>
        <w:numPr>
          <w:ilvl w:val="0"/>
          <w:numId w:val="10"/>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La patente de invención: es un privilegio que le otorga el Estado al inventor como reconocimiento de la inversión y esfuerzos realizados por éste para lograr una solución técnica que le aporte beneficios a la humanidad. Dicho privilegio consiste en el derecho a explotar exclusivamente el invento por un tiempo determinado. Debe cumplir tres requisitos: la novedad o que no sea conocido de manera previa en el ámbito mundial, aun entre las personas especialistas en el tema; que tenga alto nivel inventivo o que signifique un avance real en el estado mundial actual de la técnica; y que tenga una aplicación industrial. El titular de una patente tiene la obligación de explotar la invención patentada directamente o a través de una persona autorizada por él. Asimismo, para mantener vigente la patente deberá pagar oportunamente las tasas periódicas o anualidades correspondientes. La solicitud de patente se realiza ante la autoridad competente, en el caso de Colombia, ante la Superintendencia de Industria y Comercio. </w:t>
      </w:r>
    </w:p>
    <w:p w14:paraId="1C2964C0" w14:textId="77777777" w:rsidR="003C27E2" w:rsidRDefault="00000000">
      <w:pPr>
        <w:numPr>
          <w:ilvl w:val="0"/>
          <w:numId w:val="10"/>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 xml:space="preserve">Patente de modelo de utilidad: Es una nueva forma, configuración o disposición de elementos de algún objeto, artefacto, herramienta, instrumento o mecanismo conocido, o de alguna parte del mismo, que permita una mejoría o un funcionamiento, utilización o fabricación diferente, que le incorpore o que le proporcione alguna utilidad, ventaja o efecto técnico que antes no tenía. Los requisitos que éste debe cumplir son: que tenga alto nivel inventivo o que signifique un avance real en el estado mundial actual de la técnica; y que tenga una aplicación industrial. A diferencia de la patente de invención no </w:t>
      </w:r>
      <w:r>
        <w:rPr>
          <w:rFonts w:ascii="Times New Roman" w:hAnsi="Times New Roman"/>
        </w:rPr>
        <w:t>requiere ninguna novedad</w:t>
      </w:r>
      <w:r>
        <w:rPr>
          <w:rFonts w:ascii="Times New Roman" w:hAnsi="Times New Roman"/>
          <w:color w:val="000000"/>
        </w:rPr>
        <w:t>. </w:t>
      </w:r>
    </w:p>
    <w:p w14:paraId="7B0ADFF4" w14:textId="77777777" w:rsidR="003C27E2" w:rsidRDefault="00000000">
      <w:pPr>
        <w:numPr>
          <w:ilvl w:val="0"/>
          <w:numId w:val="10"/>
        </w:numPr>
        <w:pBdr>
          <w:top w:val="nil"/>
          <w:left w:val="nil"/>
          <w:bottom w:val="nil"/>
          <w:right w:val="nil"/>
          <w:between w:val="nil"/>
        </w:pBdr>
        <w:spacing w:after="0" w:line="259" w:lineRule="auto"/>
        <w:jc w:val="both"/>
        <w:rPr>
          <w:rFonts w:ascii="Times New Roman" w:hAnsi="Times New Roman"/>
          <w:color w:val="000000"/>
        </w:rPr>
      </w:pPr>
      <w:r>
        <w:rPr>
          <w:rFonts w:ascii="Times New Roman" w:hAnsi="Times New Roman"/>
          <w:color w:val="000000"/>
        </w:rPr>
        <w:t>Diseño industrial: Es la reunión, combinación de líneas y colores de formas; la forma externa o apariencia estética de elementos funcionales o decorativos que sirven de patrón para su producción en la industria, manufactura o artesanía; con características especiales que le dan valor agregado al producto y generan diferenciación y variedad en el mercado. </w:t>
      </w:r>
    </w:p>
    <w:p w14:paraId="6B3E9B69" w14:textId="77777777" w:rsidR="003C27E2" w:rsidRDefault="00000000">
      <w:pPr>
        <w:numPr>
          <w:ilvl w:val="0"/>
          <w:numId w:val="10"/>
        </w:numPr>
        <w:pBdr>
          <w:top w:val="nil"/>
          <w:left w:val="nil"/>
          <w:bottom w:val="nil"/>
          <w:right w:val="nil"/>
          <w:between w:val="nil"/>
        </w:pBdr>
        <w:spacing w:after="160" w:line="259" w:lineRule="auto"/>
        <w:jc w:val="both"/>
        <w:rPr>
          <w:rFonts w:ascii="Times New Roman" w:hAnsi="Times New Roman"/>
          <w:color w:val="000000"/>
        </w:rPr>
      </w:pPr>
      <w:r>
        <w:rPr>
          <w:rFonts w:ascii="Times New Roman" w:hAnsi="Times New Roman"/>
          <w:color w:val="000000"/>
        </w:rPr>
        <w:t>Signos distintivos o símbolos del Instituto: Símbolos, figuras, vocablos o expresiones que se utilizan para diferenciar los productos, servicios, actividades y los establecimientos propios del Instituto en el mercado y la sociedad, además de diferenciarlos de los demás bienes y servicios idénticos o semejantes. </w:t>
      </w:r>
    </w:p>
    <w:p w14:paraId="5BDCEA14" w14:textId="77777777" w:rsidR="003C27E2" w:rsidRDefault="00000000">
      <w:pPr>
        <w:jc w:val="both"/>
        <w:rPr>
          <w:rFonts w:ascii="Times New Roman" w:hAnsi="Times New Roman"/>
        </w:rPr>
      </w:pPr>
      <w:r>
        <w:rPr>
          <w:rFonts w:ascii="Times New Roman" w:hAnsi="Times New Roman"/>
          <w:b/>
        </w:rPr>
        <w:t>ARTÍCULO 25. TITULARIDAD EN INVESTIGACIÓN COFINANCIADA</w:t>
      </w:r>
      <w:r>
        <w:rPr>
          <w:rFonts w:ascii="Times New Roman" w:hAnsi="Times New Roman"/>
        </w:rPr>
        <w:t>: Serán  propiedad del Centro y/o de la entidad cooperante o financiadora, en la proporción que se pacte en el contrato o convenio, acta de inicio, términos de referencia o acto afín, los resultados de las investigaciones científicas y tecnológicas cofinanciadas, adelantadas por sus profesores, servidores o funcionarios, estudiantes, o personas naturales o jurídicas contratadas para tal fin, y se tendrá en cuenta lo estipulado en el artículo 20 de la Ley 23 de 1982.</w:t>
      </w:r>
    </w:p>
    <w:p w14:paraId="450CE080" w14:textId="77777777" w:rsidR="003C27E2" w:rsidRDefault="003C27E2">
      <w:pPr>
        <w:ind w:left="708" w:hanging="708"/>
        <w:rPr>
          <w:rFonts w:ascii="Times New Roman" w:hAnsi="Times New Roman"/>
        </w:rPr>
      </w:pPr>
    </w:p>
    <w:p w14:paraId="1A0D632C" w14:textId="77777777" w:rsidR="003C27E2" w:rsidRDefault="003C27E2">
      <w:pPr>
        <w:ind w:left="708" w:hanging="708"/>
        <w:rPr>
          <w:rFonts w:ascii="Times New Roman" w:hAnsi="Times New Roman"/>
        </w:rPr>
      </w:pPr>
    </w:p>
    <w:p w14:paraId="0EA24C34" w14:textId="77777777" w:rsidR="003C27E2" w:rsidRDefault="003C27E2">
      <w:pPr>
        <w:rPr>
          <w:rFonts w:ascii="Times New Roman" w:hAnsi="Times New Roman"/>
        </w:rPr>
      </w:pPr>
    </w:p>
    <w:p w14:paraId="035229BB" w14:textId="77777777" w:rsidR="003C27E2" w:rsidRDefault="003C27E2">
      <w:pPr>
        <w:ind w:left="708" w:hanging="708"/>
        <w:rPr>
          <w:rFonts w:ascii="Times New Roman" w:hAnsi="Times New Roman"/>
        </w:rPr>
      </w:pPr>
    </w:p>
    <w:p w14:paraId="02179F50" w14:textId="77777777" w:rsidR="003C27E2" w:rsidRDefault="00000000">
      <w:pPr>
        <w:ind w:left="708" w:hanging="708"/>
        <w:jc w:val="center"/>
        <w:rPr>
          <w:rFonts w:ascii="Times New Roman" w:hAnsi="Times New Roman"/>
        </w:rPr>
      </w:pPr>
      <w:r>
        <w:rPr>
          <w:rFonts w:ascii="Times New Roman" w:hAnsi="Times New Roman"/>
        </w:rPr>
        <w:t>Dado en Florencia Caquetá a los 20 de enero  de 2025</w:t>
      </w:r>
    </w:p>
    <w:p w14:paraId="5F477244" w14:textId="77777777" w:rsidR="003C27E2" w:rsidRDefault="00000000">
      <w:pPr>
        <w:ind w:left="708" w:hanging="708"/>
        <w:jc w:val="center"/>
        <w:rPr>
          <w:rFonts w:ascii="Times New Roman" w:hAnsi="Times New Roman"/>
          <w:b/>
        </w:rPr>
      </w:pPr>
      <w:r>
        <w:rPr>
          <w:rFonts w:ascii="Times New Roman" w:hAnsi="Times New Roman"/>
          <w:b/>
        </w:rPr>
        <w:t>COMUNÍQUESE Y CÚMPLASE</w:t>
      </w:r>
    </w:p>
    <w:p w14:paraId="52F78000" w14:textId="77777777" w:rsidR="003C27E2" w:rsidRDefault="003C27E2">
      <w:pPr>
        <w:ind w:left="708" w:hanging="708"/>
        <w:rPr>
          <w:rFonts w:ascii="Times New Roman" w:hAnsi="Times New Roman"/>
        </w:rPr>
      </w:pPr>
    </w:p>
    <w:sectPr w:rsidR="003C27E2">
      <w:headerReference w:type="even" r:id="rId8"/>
      <w:headerReference w:type="default" r:id="rId9"/>
      <w:footerReference w:type="default" r:id="rId10"/>
      <w:headerReference w:type="first" r:id="rId11"/>
      <w:pgSz w:w="12240" w:h="15840"/>
      <w:pgMar w:top="2282" w:right="1304" w:bottom="1701" w:left="1418" w:header="709" w:footer="6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F053A" w14:textId="77777777" w:rsidR="00FF3657" w:rsidRDefault="00FF3657">
      <w:pPr>
        <w:spacing w:after="0" w:line="240" w:lineRule="auto"/>
      </w:pPr>
      <w:r>
        <w:separator/>
      </w:r>
    </w:p>
  </w:endnote>
  <w:endnote w:type="continuationSeparator" w:id="0">
    <w:p w14:paraId="1DEF60B7" w14:textId="77777777" w:rsidR="00FF3657" w:rsidRDefault="00FF3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03E335F-024E-7549-B5CA-477583E01E57}"/>
  </w:font>
  <w:font w:name="Courier New">
    <w:panose1 w:val="02070309020205020404"/>
    <w:charset w:val="00"/>
    <w:family w:val="modern"/>
    <w:pitch w:val="fixed"/>
    <w:sig w:usb0="E0002AFF" w:usb1="C0007843" w:usb2="00000009" w:usb3="00000000" w:csb0="000001FF" w:csb1="00000000"/>
    <w:embedRegular r:id="rId2" w:fontKey="{559DB79E-9020-B540-986E-76B94F5CE1B7}"/>
  </w:font>
  <w:font w:name="Calibri">
    <w:panose1 w:val="020F0502020204030204"/>
    <w:charset w:val="00"/>
    <w:family w:val="swiss"/>
    <w:pitch w:val="variable"/>
    <w:sig w:usb0="E0002AFF" w:usb1="C000247B" w:usb2="00000009" w:usb3="00000000" w:csb0="000001FF" w:csb1="00000000"/>
    <w:embedRegular r:id="rId3" w:fontKey="{42E52DC3-D484-4A4A-B4C0-235651657BAA}"/>
    <w:embedBold r:id="rId4" w:fontKey="{3C47CEC4-BB63-5341-9335-9935BCEACF18}"/>
  </w:font>
  <w:font w:name="Times New Roman">
    <w:panose1 w:val="02020603050405020304"/>
    <w:charset w:val="00"/>
    <w:family w:val="roman"/>
    <w:pitch w:val="variable"/>
    <w:sig w:usb0="E0002EFF" w:usb1="C000785B" w:usb2="00000009" w:usb3="00000000" w:csb0="000001FF" w:csb1="00000000"/>
    <w:embedRegular r:id="rId5" w:fontKey="{2C137328-5251-DA45-9B55-431D629E07B6}"/>
    <w:embedBold r:id="rId6" w:fontKey="{3550237A-78C8-6142-929F-9927F5116234}"/>
    <w:embedItalic r:id="rId7" w:fontKey="{66635D5C-13CB-C44A-9342-E0A02DF9773D}"/>
    <w:embedBoldItalic r:id="rId8" w:fontKey="{7CC9F413-28D8-384E-BBF1-80F906A82FED}"/>
  </w:font>
  <w:font w:name="Calibri Light">
    <w:panose1 w:val="020F0302020204030204"/>
    <w:charset w:val="00"/>
    <w:family w:val="modern"/>
    <w:pitch w:val="variable"/>
    <w:sig w:usb0="00000003" w:usb1="00000000" w:usb2="00000000" w:usb3="00000000" w:csb0="00000001" w:csb1="00000000"/>
    <w:embedRegular r:id="rId9" w:fontKey="{1AD51B19-0824-8B41-A65F-8375E78C5F47}"/>
  </w:font>
  <w:font w:name="Segoe UI">
    <w:panose1 w:val="020B0502040204020203"/>
    <w:charset w:val="00"/>
    <w:family w:val="roman"/>
    <w:notTrueType/>
    <w:pitch w:val="default"/>
    <w:embedRegular r:id="rId10" w:fontKey="{8849B3CE-85D6-6F44-BBF6-611A05F7FEA7}"/>
  </w:font>
  <w:font w:name="Arial">
    <w:panose1 w:val="020B0604020202020204"/>
    <w:charset w:val="00"/>
    <w:family w:val="swiss"/>
    <w:pitch w:val="variable"/>
    <w:sig w:usb0="E0002AFF" w:usb1="C0007843" w:usb2="00000009" w:usb3="00000000" w:csb0="000001FF" w:csb1="00000000"/>
    <w:embedRegular r:id="rId11" w:fontKey="{E3CF4BF6-8B5E-F046-AA41-199E6C99C968}"/>
    <w:embedBold r:id="rId12" w:fontKey="{EF5F567D-7D72-004C-A5BF-D7DEB6CAF442}"/>
  </w:font>
  <w:font w:name="Georgia">
    <w:panose1 w:val="02040502050405020303"/>
    <w:charset w:val="00"/>
    <w:family w:val="roman"/>
    <w:pitch w:val="variable"/>
    <w:sig w:usb0="00000287" w:usb1="00000000" w:usb2="00000000" w:usb3="00000000" w:csb0="0000009F" w:csb1="00000000"/>
    <w:embedRegular r:id="rId13" w:fontKey="{9BB8665E-3FF1-874F-A156-5343007E2F20}"/>
    <w:embedItalic r:id="rId14" w:fontKey="{53400BB0-2AED-9B47-A4E6-CA171F0D3E5E}"/>
  </w:font>
  <w:font w:name="Abadi Extra Light">
    <w:panose1 w:val="020B0204020104020204"/>
    <w:charset w:val="00"/>
    <w:family w:val="swiss"/>
    <w:pitch w:val="variable"/>
    <w:sig w:usb0="80000003" w:usb1="00000000" w:usb2="00000000" w:usb3="00000000" w:csb0="00000001" w:csb1="00000000"/>
    <w:embedRegular r:id="rId15" w:fontKey="{303332CD-01A4-864D-BC88-4C483CB54AC4}"/>
    <w:embedBold r:id="rId16" w:fontKey="{E3767DF7-7044-D041-BB85-23972BB4545E}"/>
    <w:embedBoldItalic r:id="rId17" w:fontKey="{D6C92E67-FEEC-034E-8793-8FFC87EB5B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161B" w14:textId="77777777" w:rsidR="003C27E2" w:rsidRDefault="00000000">
    <w:pPr>
      <w:pBdr>
        <w:top w:val="nil"/>
        <w:left w:val="nil"/>
        <w:bottom w:val="nil"/>
        <w:right w:val="nil"/>
        <w:between w:val="nil"/>
      </w:pBdr>
      <w:tabs>
        <w:tab w:val="center" w:pos="4419"/>
        <w:tab w:val="right" w:pos="8838"/>
      </w:tabs>
      <w:spacing w:after="0" w:line="240" w:lineRule="auto"/>
      <w:jc w:val="center"/>
      <w:rPr>
        <w:rFonts w:ascii="Abadi Extra Light" w:eastAsia="Abadi Extra Light" w:hAnsi="Abadi Extra Light" w:cs="Abadi Extra Light"/>
        <w:b/>
        <w:color w:val="000000"/>
        <w:sz w:val="24"/>
        <w:szCs w:val="24"/>
      </w:rPr>
    </w:pPr>
    <w:r>
      <w:rPr>
        <w:rFonts w:ascii="Abadi Extra Light" w:eastAsia="Abadi Extra Light" w:hAnsi="Abadi Extra Light" w:cs="Abadi Extra Light"/>
        <w:b/>
        <w:color w:val="000000"/>
        <w:sz w:val="24"/>
        <w:szCs w:val="24"/>
      </w:rPr>
      <w:t>Florencia – Caquetá</w:t>
    </w:r>
  </w:p>
  <w:p w14:paraId="2DD10751" w14:textId="77777777" w:rsidR="003C27E2" w:rsidRDefault="00000000">
    <w:pPr>
      <w:pBdr>
        <w:top w:val="nil"/>
        <w:left w:val="nil"/>
        <w:bottom w:val="nil"/>
        <w:right w:val="nil"/>
        <w:between w:val="nil"/>
      </w:pBdr>
      <w:tabs>
        <w:tab w:val="center" w:pos="4419"/>
        <w:tab w:val="right" w:pos="8838"/>
      </w:tabs>
      <w:spacing w:after="0" w:line="240" w:lineRule="auto"/>
      <w:jc w:val="center"/>
      <w:rPr>
        <w:rFonts w:ascii="Abadi Extra Light" w:eastAsia="Abadi Extra Light" w:hAnsi="Abadi Extra Light" w:cs="Abadi Extra Light"/>
        <w:b/>
        <w:color w:val="000000"/>
        <w:sz w:val="24"/>
        <w:szCs w:val="24"/>
        <w:vertAlign w:val="superscript"/>
      </w:rPr>
    </w:pPr>
    <w:r>
      <w:rPr>
        <w:rFonts w:ascii="Abadi Extra Light" w:eastAsia="Abadi Extra Light" w:hAnsi="Abadi Extra Light" w:cs="Abadi Extra Light"/>
        <w:b/>
        <w:color w:val="000000"/>
        <w:sz w:val="24"/>
        <w:szCs w:val="24"/>
      </w:rPr>
      <w:t xml:space="preserve">Celular: 3232844028. Correo electrónico: </w:t>
    </w:r>
    <w:hyperlink r:id="rId1">
      <w:r>
        <w:rPr>
          <w:rFonts w:ascii="Abadi Extra Light" w:eastAsia="Abadi Extra Light" w:hAnsi="Abadi Extra Light" w:cs="Abadi Extra Light"/>
          <w:b/>
          <w:color w:val="0070C0"/>
          <w:sz w:val="24"/>
          <w:szCs w:val="24"/>
        </w:rPr>
        <w:t>centrodeinvestigacion@ciidesbic.org</w:t>
      </w:r>
    </w:hyperlink>
    <w:r>
      <w:rPr>
        <w:rFonts w:ascii="Abadi Extra Light" w:eastAsia="Abadi Extra Light" w:hAnsi="Abadi Extra Light" w:cs="Abadi Extra Light"/>
        <w:b/>
        <w:color w:val="0070C0"/>
        <w:sz w:val="24"/>
        <w:szCs w:val="24"/>
        <w:vertAlign w:val="superscript"/>
      </w:rPr>
      <w:t xml:space="preserve"> </w:t>
    </w:r>
  </w:p>
  <w:p w14:paraId="47126B7E" w14:textId="77777777" w:rsidR="003C27E2" w:rsidRDefault="003C27E2">
    <w:pPr>
      <w:pBdr>
        <w:top w:val="nil"/>
        <w:left w:val="nil"/>
        <w:bottom w:val="nil"/>
        <w:right w:val="nil"/>
        <w:between w:val="nil"/>
      </w:pBdr>
      <w:tabs>
        <w:tab w:val="center" w:pos="4419"/>
        <w:tab w:val="right" w:pos="8838"/>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1C5C0" w14:textId="77777777" w:rsidR="00FF3657" w:rsidRDefault="00FF3657">
      <w:pPr>
        <w:spacing w:after="0" w:line="240" w:lineRule="auto"/>
      </w:pPr>
      <w:r>
        <w:separator/>
      </w:r>
    </w:p>
  </w:footnote>
  <w:footnote w:type="continuationSeparator" w:id="0">
    <w:p w14:paraId="2494DB8B" w14:textId="77777777" w:rsidR="00FF3657" w:rsidRDefault="00FF3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CEE3" w14:textId="77777777" w:rsidR="003C27E2" w:rsidRDefault="00000000">
    <w:pPr>
      <w:pBdr>
        <w:top w:val="nil"/>
        <w:left w:val="nil"/>
        <w:bottom w:val="nil"/>
        <w:right w:val="nil"/>
        <w:between w:val="nil"/>
      </w:pBdr>
      <w:tabs>
        <w:tab w:val="center" w:pos="4419"/>
        <w:tab w:val="right" w:pos="8838"/>
      </w:tabs>
      <w:spacing w:after="0" w:line="240" w:lineRule="auto"/>
      <w:rPr>
        <w:rFonts w:eastAsia="Calibri" w:cs="Calibri"/>
        <w:color w:val="000000"/>
      </w:rPr>
    </w:pPr>
    <w:r>
      <w:rPr>
        <w:rFonts w:eastAsia="Calibri" w:cs="Calibri"/>
        <w:noProof/>
        <w:color w:val="000000"/>
      </w:rPr>
      <w:drawing>
        <wp:anchor distT="0" distB="0" distL="0" distR="0" simplePos="0" relativeHeight="251656704" behindDoc="1" locked="0" layoutInCell="1" hidden="0" allowOverlap="1" wp14:anchorId="0E69AFE3" wp14:editId="078D5B94">
          <wp:simplePos x="0" y="0"/>
          <wp:positionH relativeFrom="margin">
            <wp:align>center</wp:align>
          </wp:positionH>
          <wp:positionV relativeFrom="margin">
            <wp:align>center</wp:align>
          </wp:positionV>
          <wp:extent cx="7738745" cy="10079990"/>
          <wp:effectExtent l="0" t="0" r="0" b="0"/>
          <wp:wrapNone/>
          <wp:docPr id="2044317119" name="image3.jpg" descr="MEMBRETE"/>
          <wp:cNvGraphicFramePr/>
          <a:graphic xmlns:a="http://schemas.openxmlformats.org/drawingml/2006/main">
            <a:graphicData uri="http://schemas.openxmlformats.org/drawingml/2006/picture">
              <pic:pic xmlns:pic="http://schemas.openxmlformats.org/drawingml/2006/picture">
                <pic:nvPicPr>
                  <pic:cNvPr id="0" name="image3.jpg" descr="MEMBRETE"/>
                  <pic:cNvPicPr preferRelativeResize="0"/>
                </pic:nvPicPr>
                <pic:blipFill>
                  <a:blip r:embed="rId1"/>
                  <a:srcRect/>
                  <a:stretch>
                    <a:fillRect/>
                  </a:stretch>
                </pic:blipFill>
                <pic:spPr>
                  <a:xfrm>
                    <a:off x="0" y="0"/>
                    <a:ext cx="7738745" cy="10079990"/>
                  </a:xfrm>
                  <a:prstGeom prst="rect">
                    <a:avLst/>
                  </a:prstGeom>
                  <a:ln/>
                </pic:spPr>
              </pic:pic>
            </a:graphicData>
          </a:graphic>
        </wp:anchor>
      </w:drawing>
    </w:r>
    <w:r>
      <w:rPr>
        <w:rFonts w:eastAsia="Calibri" w:cs="Calibri"/>
        <w:noProof/>
        <w:color w:val="000000"/>
      </w:rPr>
      <w:drawing>
        <wp:anchor distT="0" distB="0" distL="0" distR="0" simplePos="0" relativeHeight="251657728" behindDoc="1" locked="0" layoutInCell="1" hidden="0" allowOverlap="1" wp14:anchorId="54FEF483" wp14:editId="53F724D3">
          <wp:simplePos x="0" y="0"/>
          <wp:positionH relativeFrom="margin">
            <wp:align>center</wp:align>
          </wp:positionH>
          <wp:positionV relativeFrom="margin">
            <wp:align>center</wp:align>
          </wp:positionV>
          <wp:extent cx="7738745" cy="10079990"/>
          <wp:effectExtent l="0" t="0" r="0" b="0"/>
          <wp:wrapNone/>
          <wp:docPr id="2044317122" name="image1.jpg" descr="Membrete listo"/>
          <wp:cNvGraphicFramePr/>
          <a:graphic xmlns:a="http://schemas.openxmlformats.org/drawingml/2006/main">
            <a:graphicData uri="http://schemas.openxmlformats.org/drawingml/2006/picture">
              <pic:pic xmlns:pic="http://schemas.openxmlformats.org/drawingml/2006/picture">
                <pic:nvPicPr>
                  <pic:cNvPr id="0" name="image1.jpg" descr="Membrete listo"/>
                  <pic:cNvPicPr preferRelativeResize="0"/>
                </pic:nvPicPr>
                <pic:blipFill>
                  <a:blip r:embed="rId2"/>
                  <a:srcRect/>
                  <a:stretch>
                    <a:fillRect/>
                  </a:stretch>
                </pic:blipFill>
                <pic:spPr>
                  <a:xfrm>
                    <a:off x="0" y="0"/>
                    <a:ext cx="7738745" cy="10079990"/>
                  </a:xfrm>
                  <a:prstGeom prst="rect">
                    <a:avLst/>
                  </a:prstGeom>
                  <a:ln/>
                </pic:spPr>
              </pic:pic>
            </a:graphicData>
          </a:graphic>
        </wp:anchor>
      </w:drawing>
    </w:r>
    <w:r>
      <w:rPr>
        <w:rFonts w:eastAsia="Calibri" w:cs="Calibri"/>
        <w:noProof/>
        <w:color w:val="000000"/>
      </w:rPr>
      <w:drawing>
        <wp:anchor distT="0" distB="0" distL="0" distR="0" simplePos="0" relativeHeight="251658752" behindDoc="1" locked="0" layoutInCell="1" hidden="0" allowOverlap="1" wp14:anchorId="4B4C8752" wp14:editId="51F0385E">
          <wp:simplePos x="0" y="0"/>
          <wp:positionH relativeFrom="margin">
            <wp:align>center</wp:align>
          </wp:positionH>
          <wp:positionV relativeFrom="margin">
            <wp:align>center</wp:align>
          </wp:positionV>
          <wp:extent cx="5680075" cy="7398385"/>
          <wp:effectExtent l="0" t="0" r="0" b="0"/>
          <wp:wrapNone/>
          <wp:docPr id="2044317121" name="image2.jpg" descr="membrete Huila Crece2"/>
          <wp:cNvGraphicFramePr/>
          <a:graphic xmlns:a="http://schemas.openxmlformats.org/drawingml/2006/main">
            <a:graphicData uri="http://schemas.openxmlformats.org/drawingml/2006/picture">
              <pic:pic xmlns:pic="http://schemas.openxmlformats.org/drawingml/2006/picture">
                <pic:nvPicPr>
                  <pic:cNvPr id="0" name="image2.jpg" descr="membrete Huila Crece2"/>
                  <pic:cNvPicPr preferRelativeResize="0"/>
                </pic:nvPicPr>
                <pic:blipFill>
                  <a:blip r:embed="rId3"/>
                  <a:srcRect/>
                  <a:stretch>
                    <a:fillRect/>
                  </a:stretch>
                </pic:blipFill>
                <pic:spPr>
                  <a:xfrm>
                    <a:off x="0" y="0"/>
                    <a:ext cx="5680075" cy="739838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73F9" w14:textId="77777777" w:rsidR="003C27E2" w:rsidRDefault="00000000">
    <w:pPr>
      <w:pBdr>
        <w:top w:val="nil"/>
        <w:left w:val="nil"/>
        <w:bottom w:val="nil"/>
        <w:right w:val="nil"/>
        <w:between w:val="nil"/>
      </w:pBdr>
      <w:tabs>
        <w:tab w:val="center" w:pos="4419"/>
        <w:tab w:val="right" w:pos="8838"/>
      </w:tabs>
      <w:spacing w:after="0" w:line="240" w:lineRule="auto"/>
      <w:jc w:val="center"/>
      <w:rPr>
        <w:rFonts w:ascii="Abadi Extra Light" w:eastAsia="Abadi Extra Light" w:hAnsi="Abadi Extra Light" w:cs="Abadi Extra Light"/>
        <w:b/>
        <w:color w:val="000000"/>
        <w:sz w:val="28"/>
        <w:szCs w:val="28"/>
      </w:rPr>
    </w:pPr>
    <w:bookmarkStart w:id="1" w:name="_heading=h.kx1kzf4ysy1i" w:colFirst="0" w:colLast="0"/>
    <w:bookmarkEnd w:id="1"/>
    <w:r>
      <w:rPr>
        <w:rFonts w:ascii="Abadi Extra Light" w:eastAsia="Abadi Extra Light" w:hAnsi="Abadi Extra Light" w:cs="Abadi Extra Light"/>
        <w:b/>
        <w:color w:val="000000"/>
        <w:sz w:val="28"/>
        <w:szCs w:val="28"/>
      </w:rPr>
      <w:t xml:space="preserve">Centro de Investigación, Innovación y Desarrollo </w:t>
    </w:r>
    <w:r>
      <w:rPr>
        <w:noProof/>
      </w:rPr>
      <w:drawing>
        <wp:anchor distT="0" distB="0" distL="114300" distR="114300" simplePos="0" relativeHeight="251655680" behindDoc="0" locked="0" layoutInCell="1" hidden="0" allowOverlap="1" wp14:anchorId="07AF575A" wp14:editId="6CB6CC11">
          <wp:simplePos x="0" y="0"/>
          <wp:positionH relativeFrom="column">
            <wp:posOffset>-851534</wp:posOffset>
          </wp:positionH>
          <wp:positionV relativeFrom="paragraph">
            <wp:posOffset>-421004</wp:posOffset>
          </wp:positionV>
          <wp:extent cx="1381125" cy="1381125"/>
          <wp:effectExtent l="0" t="0" r="0" b="0"/>
          <wp:wrapNone/>
          <wp:docPr id="2044317120" name="image4.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Diagrama&#10;&#10;Descripción generada automáticamente con confianza media"/>
                  <pic:cNvPicPr preferRelativeResize="0"/>
                </pic:nvPicPr>
                <pic:blipFill>
                  <a:blip r:embed="rId1"/>
                  <a:srcRect/>
                  <a:stretch>
                    <a:fillRect/>
                  </a:stretch>
                </pic:blipFill>
                <pic:spPr>
                  <a:xfrm>
                    <a:off x="0" y="0"/>
                    <a:ext cx="1381125" cy="1381125"/>
                  </a:xfrm>
                  <a:prstGeom prst="rect">
                    <a:avLst/>
                  </a:prstGeom>
                  <a:ln/>
                </pic:spPr>
              </pic:pic>
            </a:graphicData>
          </a:graphic>
        </wp:anchor>
      </w:drawing>
    </w:r>
  </w:p>
  <w:p w14:paraId="0A3307EE" w14:textId="77777777" w:rsidR="003C27E2" w:rsidRDefault="00000000">
    <w:pPr>
      <w:pBdr>
        <w:top w:val="nil"/>
        <w:left w:val="nil"/>
        <w:bottom w:val="nil"/>
        <w:right w:val="nil"/>
        <w:between w:val="nil"/>
      </w:pBdr>
      <w:tabs>
        <w:tab w:val="center" w:pos="4419"/>
        <w:tab w:val="right" w:pos="8838"/>
      </w:tabs>
      <w:spacing w:after="0" w:line="240" w:lineRule="auto"/>
      <w:jc w:val="center"/>
      <w:rPr>
        <w:rFonts w:ascii="Abadi Extra Light" w:eastAsia="Abadi Extra Light" w:hAnsi="Abadi Extra Light" w:cs="Abadi Extra Light"/>
        <w:b/>
        <w:color w:val="000000"/>
        <w:sz w:val="28"/>
        <w:szCs w:val="28"/>
      </w:rPr>
    </w:pPr>
    <w:r>
      <w:rPr>
        <w:rFonts w:ascii="Abadi Extra Light" w:eastAsia="Abadi Extra Light" w:hAnsi="Abadi Extra Light" w:cs="Abadi Extra Light"/>
        <w:b/>
        <w:color w:val="000000"/>
        <w:sz w:val="28"/>
        <w:szCs w:val="28"/>
      </w:rPr>
      <w:t>para la Sustentabilidad - CIIDES S.A.S BIC</w:t>
    </w:r>
  </w:p>
  <w:p w14:paraId="62C3DB39" w14:textId="77777777" w:rsidR="003C27E2" w:rsidRDefault="00000000">
    <w:pPr>
      <w:pBdr>
        <w:top w:val="nil"/>
        <w:left w:val="nil"/>
        <w:bottom w:val="nil"/>
        <w:right w:val="nil"/>
        <w:between w:val="nil"/>
      </w:pBdr>
      <w:tabs>
        <w:tab w:val="center" w:pos="4419"/>
        <w:tab w:val="right" w:pos="8838"/>
      </w:tabs>
      <w:spacing w:after="0" w:line="240" w:lineRule="auto"/>
      <w:jc w:val="center"/>
      <w:rPr>
        <w:rFonts w:ascii="Abadi Extra Light" w:eastAsia="Abadi Extra Light" w:hAnsi="Abadi Extra Light" w:cs="Abadi Extra Light"/>
        <w:b/>
        <w:color w:val="000000"/>
        <w:sz w:val="28"/>
        <w:szCs w:val="28"/>
      </w:rPr>
    </w:pPr>
    <w:r>
      <w:rPr>
        <w:rFonts w:ascii="Abadi Extra Light" w:eastAsia="Abadi Extra Light" w:hAnsi="Abadi Extra Light" w:cs="Abadi Extra Light"/>
        <w:b/>
        <w:color w:val="000000"/>
        <w:sz w:val="28"/>
        <w:szCs w:val="28"/>
      </w:rPr>
      <w:t>“</w:t>
    </w:r>
    <w:r>
      <w:rPr>
        <w:rFonts w:ascii="Abadi Extra Light" w:eastAsia="Abadi Extra Light" w:hAnsi="Abadi Extra Light" w:cs="Abadi Extra Light"/>
        <w:b/>
        <w:i/>
        <w:color w:val="000000"/>
        <w:sz w:val="24"/>
        <w:szCs w:val="24"/>
      </w:rPr>
      <w:t xml:space="preserve">Soluciones desde una mirada </w:t>
    </w:r>
    <w:proofErr w:type="spellStart"/>
    <w:r>
      <w:rPr>
        <w:rFonts w:ascii="Abadi Extra Light" w:eastAsia="Abadi Extra Light" w:hAnsi="Abadi Extra Light" w:cs="Abadi Extra Light"/>
        <w:b/>
        <w:i/>
        <w:color w:val="000000"/>
        <w:sz w:val="24"/>
        <w:szCs w:val="24"/>
      </w:rPr>
      <w:t>interdimensional</w:t>
    </w:r>
    <w:proofErr w:type="spellEnd"/>
    <w:r>
      <w:rPr>
        <w:rFonts w:ascii="Abadi Extra Light" w:eastAsia="Abadi Extra Light" w:hAnsi="Abadi Extra Light" w:cs="Abadi Extra Light"/>
        <w:b/>
        <w:i/>
        <w:color w:val="000000"/>
        <w:sz w:val="24"/>
        <w:szCs w:val="24"/>
      </w:rPr>
      <w:t xml:space="preserve"> del territorio</w:t>
    </w:r>
    <w:r>
      <w:rPr>
        <w:rFonts w:ascii="Abadi Extra Light" w:eastAsia="Abadi Extra Light" w:hAnsi="Abadi Extra Light" w:cs="Abadi Extra Light"/>
        <w:b/>
        <w:color w:val="000000"/>
        <w:sz w:val="28"/>
        <w:szCs w:val="28"/>
      </w:rPr>
      <w:t>”</w:t>
    </w:r>
  </w:p>
  <w:p w14:paraId="0EBE0888" w14:textId="77777777" w:rsidR="003C27E2" w:rsidRDefault="00000000">
    <w:pPr>
      <w:pBdr>
        <w:top w:val="nil"/>
        <w:left w:val="nil"/>
        <w:bottom w:val="nil"/>
        <w:right w:val="nil"/>
        <w:between w:val="nil"/>
      </w:pBdr>
      <w:tabs>
        <w:tab w:val="center" w:pos="4419"/>
        <w:tab w:val="right" w:pos="8838"/>
      </w:tabs>
      <w:spacing w:after="0" w:line="240" w:lineRule="auto"/>
      <w:jc w:val="center"/>
      <w:rPr>
        <w:rFonts w:ascii="Times New Roman" w:hAnsi="Times New Roman"/>
        <w:b/>
        <w:i/>
        <w:color w:val="000000"/>
        <w:sz w:val="28"/>
        <w:szCs w:val="28"/>
      </w:rPr>
    </w:pPr>
    <w:proofErr w:type="spellStart"/>
    <w:r>
      <w:rPr>
        <w:rFonts w:ascii="Abadi Extra Light" w:eastAsia="Abadi Extra Light" w:hAnsi="Abadi Extra Light" w:cs="Abadi Extra Light"/>
        <w:b/>
        <w:color w:val="000000"/>
        <w:sz w:val="24"/>
        <w:szCs w:val="24"/>
      </w:rPr>
      <w:t>Nit</w:t>
    </w:r>
    <w:proofErr w:type="spellEnd"/>
    <w:r>
      <w:rPr>
        <w:rFonts w:ascii="Abadi Extra Light" w:eastAsia="Abadi Extra Light" w:hAnsi="Abadi Extra Light" w:cs="Abadi Extra Light"/>
        <w:b/>
        <w:color w:val="000000"/>
        <w:sz w:val="24"/>
        <w:szCs w:val="24"/>
      </w:rPr>
      <w:t>:</w:t>
    </w:r>
    <w:r>
      <w:rPr>
        <w:rFonts w:ascii="Abadi Extra Light" w:eastAsia="Abadi Extra Light" w:hAnsi="Abadi Extra Light" w:cs="Abadi Extra Light"/>
        <w:b/>
        <w:i/>
        <w:color w:val="000000"/>
        <w:sz w:val="24"/>
        <w:szCs w:val="24"/>
      </w:rPr>
      <w:t xml:space="preserve"> </w:t>
    </w:r>
    <w:r>
      <w:rPr>
        <w:rFonts w:ascii="Abadi Extra Light" w:eastAsia="Abadi Extra Light" w:hAnsi="Abadi Extra Light" w:cs="Abadi Extra Light"/>
        <w:b/>
        <w:color w:val="000000"/>
        <w:sz w:val="24"/>
        <w:szCs w:val="24"/>
      </w:rPr>
      <w:t>901.629.503-2</w:t>
    </w:r>
  </w:p>
  <w:p w14:paraId="2B59EF52" w14:textId="77777777" w:rsidR="003C27E2" w:rsidRDefault="003C27E2">
    <w:pPr>
      <w:pBdr>
        <w:top w:val="nil"/>
        <w:left w:val="nil"/>
        <w:bottom w:val="nil"/>
        <w:right w:val="nil"/>
        <w:between w:val="nil"/>
      </w:pBdr>
      <w:tabs>
        <w:tab w:val="center" w:pos="4419"/>
        <w:tab w:val="right" w:pos="8838"/>
      </w:tabs>
      <w:spacing w:after="0" w:line="240" w:lineRule="auto"/>
      <w:rPr>
        <w:rFonts w:ascii="Arial" w:eastAsia="Arial" w:hAnsi="Arial" w:cs="Arial"/>
        <w:b/>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E83F" w14:textId="77777777" w:rsidR="003C27E2" w:rsidRDefault="00FF3657">
    <w:pPr>
      <w:pBdr>
        <w:top w:val="nil"/>
        <w:left w:val="nil"/>
        <w:bottom w:val="nil"/>
        <w:right w:val="nil"/>
        <w:between w:val="nil"/>
      </w:pBdr>
      <w:tabs>
        <w:tab w:val="center" w:pos="4419"/>
        <w:tab w:val="right" w:pos="8838"/>
      </w:tabs>
      <w:spacing w:after="0" w:line="240" w:lineRule="auto"/>
      <w:rPr>
        <w:rFonts w:eastAsia="Calibri" w:cs="Calibri"/>
        <w:color w:val="000000"/>
      </w:rPr>
    </w:pPr>
    <w:r>
      <w:rPr>
        <w:rFonts w:eastAsia="Calibri" w:cs="Calibri"/>
        <w:color w:val="000000"/>
      </w:rPr>
      <w:pict w14:anchorId="3BBFA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EMBRETE" style="position:absolute;margin-left:0;margin-top:0;width:609.35pt;height:793.7pt;z-index:-251656704;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228E"/>
    <w:multiLevelType w:val="multilevel"/>
    <w:tmpl w:val="AF76E3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830461"/>
    <w:multiLevelType w:val="multilevel"/>
    <w:tmpl w:val="77846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F85775"/>
    <w:multiLevelType w:val="multilevel"/>
    <w:tmpl w:val="EB8CED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2D0DF0"/>
    <w:multiLevelType w:val="multilevel"/>
    <w:tmpl w:val="C01EE8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B81B9D"/>
    <w:multiLevelType w:val="multilevel"/>
    <w:tmpl w:val="31BEC7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E5053"/>
    <w:multiLevelType w:val="multilevel"/>
    <w:tmpl w:val="727EF0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6D7F23"/>
    <w:multiLevelType w:val="multilevel"/>
    <w:tmpl w:val="7458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7939CF"/>
    <w:multiLevelType w:val="multilevel"/>
    <w:tmpl w:val="DBE8D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685C39"/>
    <w:multiLevelType w:val="multilevel"/>
    <w:tmpl w:val="8CDA2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87F2190"/>
    <w:multiLevelType w:val="multilevel"/>
    <w:tmpl w:val="1E946C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8D79C8"/>
    <w:multiLevelType w:val="multilevel"/>
    <w:tmpl w:val="6A7A2E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510BB5"/>
    <w:multiLevelType w:val="multilevel"/>
    <w:tmpl w:val="7E02A7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230856">
    <w:abstractNumId w:val="9"/>
  </w:num>
  <w:num w:numId="2" w16cid:durableId="1434519991">
    <w:abstractNumId w:val="11"/>
  </w:num>
  <w:num w:numId="3" w16cid:durableId="373627138">
    <w:abstractNumId w:val="7"/>
  </w:num>
  <w:num w:numId="4" w16cid:durableId="1696930757">
    <w:abstractNumId w:val="3"/>
  </w:num>
  <w:num w:numId="5" w16cid:durableId="1336345067">
    <w:abstractNumId w:val="4"/>
  </w:num>
  <w:num w:numId="6" w16cid:durableId="934050">
    <w:abstractNumId w:val="0"/>
  </w:num>
  <w:num w:numId="7" w16cid:durableId="745224256">
    <w:abstractNumId w:val="5"/>
  </w:num>
  <w:num w:numId="8" w16cid:durableId="207184935">
    <w:abstractNumId w:val="8"/>
  </w:num>
  <w:num w:numId="9" w16cid:durableId="2110814600">
    <w:abstractNumId w:val="10"/>
  </w:num>
  <w:num w:numId="10" w16cid:durableId="69620858">
    <w:abstractNumId w:val="2"/>
  </w:num>
  <w:num w:numId="11" w16cid:durableId="1951930094">
    <w:abstractNumId w:val="1"/>
  </w:num>
  <w:num w:numId="12" w16cid:durableId="1889105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E2"/>
    <w:rsid w:val="0026664E"/>
    <w:rsid w:val="003C27E2"/>
    <w:rsid w:val="004D39CF"/>
    <w:rsid w:val="007E58B6"/>
    <w:rsid w:val="00FF36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FA0C"/>
  <w15:docId w15:val="{AC13FC39-B0CF-9D44-A922-15FAB996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71C"/>
    <w:rPr>
      <w:rFonts w:eastAsia="Times New Roman" w:cs="Times New Roman"/>
    </w:rPr>
  </w:style>
  <w:style w:type="paragraph" w:styleId="Ttulo1">
    <w:name w:val="heading 1"/>
    <w:basedOn w:val="Normal"/>
    <w:link w:val="Ttulo1Car"/>
    <w:uiPriority w:val="9"/>
    <w:qFormat/>
    <w:rsid w:val="0062703F"/>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5253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styleId="Hipervnculo">
    <w:name w:val="Hyperlink"/>
    <w:uiPriority w:val="99"/>
    <w:unhideWhenUsed/>
    <w:qFormat/>
    <w:rPr>
      <w:color w:val="0000FF"/>
      <w:u w:val="single"/>
    </w:rPr>
  </w:style>
  <w:style w:type="character" w:customStyle="1" w:styleId="EncabezadoCar">
    <w:name w:val="Encabezado Car"/>
    <w:basedOn w:val="Fuentedeprrafopredeter"/>
    <w:link w:val="Encabezado"/>
    <w:uiPriority w:val="99"/>
    <w:qFormat/>
    <w:rPr>
      <w:rFonts w:ascii="Calibri" w:eastAsia="Times New Roman" w:hAnsi="Calibri" w:cs="Times New Roman"/>
      <w:lang w:eastAsia="es-CO"/>
    </w:rPr>
  </w:style>
  <w:style w:type="character" w:customStyle="1" w:styleId="PiedepginaCar">
    <w:name w:val="Pie de página Car"/>
    <w:basedOn w:val="Fuentedeprrafopredeter"/>
    <w:link w:val="Piedepgina"/>
    <w:uiPriority w:val="99"/>
    <w:rPr>
      <w:rFonts w:ascii="Calibri" w:eastAsia="Times New Roman" w:hAnsi="Calibri" w:cs="Times New Roman"/>
      <w:lang w:eastAsia="es-CO"/>
    </w:rPr>
  </w:style>
  <w:style w:type="character" w:customStyle="1" w:styleId="Ttulo1Car">
    <w:name w:val="Título 1 Car"/>
    <w:basedOn w:val="Fuentedeprrafopredeter"/>
    <w:link w:val="Ttulo1"/>
    <w:uiPriority w:val="9"/>
    <w:rsid w:val="0062703F"/>
    <w:rPr>
      <w:rFonts w:ascii="Times New Roman" w:eastAsia="Times New Roman" w:hAnsi="Times New Roman" w:cs="Times New Roman"/>
      <w:b/>
      <w:bCs/>
      <w:kern w:val="36"/>
      <w:sz w:val="48"/>
      <w:szCs w:val="48"/>
    </w:rPr>
  </w:style>
  <w:style w:type="paragraph" w:styleId="Textodeglobo">
    <w:name w:val="Balloon Text"/>
    <w:basedOn w:val="Normal"/>
    <w:link w:val="TextodegloboCar"/>
    <w:uiPriority w:val="99"/>
    <w:semiHidden/>
    <w:unhideWhenUsed/>
    <w:rsid w:val="006270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703F"/>
    <w:rPr>
      <w:rFonts w:ascii="Segoe UI" w:eastAsia="Times New Roman" w:hAnsi="Segoe UI" w:cs="Segoe UI"/>
      <w:sz w:val="18"/>
      <w:szCs w:val="18"/>
    </w:rPr>
  </w:style>
  <w:style w:type="character" w:styleId="Textodelmarcadordeposicin">
    <w:name w:val="Placeholder Text"/>
    <w:basedOn w:val="Fuentedeprrafopredeter"/>
    <w:uiPriority w:val="99"/>
    <w:semiHidden/>
    <w:rsid w:val="00CC7B75"/>
    <w:rPr>
      <w:color w:val="808080"/>
    </w:rPr>
  </w:style>
  <w:style w:type="character" w:customStyle="1" w:styleId="Estilo1">
    <w:name w:val="Estilo1"/>
    <w:basedOn w:val="Fuentedeprrafopredeter"/>
    <w:uiPriority w:val="1"/>
    <w:rsid w:val="00CC7B75"/>
    <w:rPr>
      <w:rFonts w:ascii="Arial" w:hAnsi="Arial"/>
    </w:rPr>
  </w:style>
  <w:style w:type="table" w:styleId="Tablaconcuadrcula">
    <w:name w:val="Table Grid"/>
    <w:basedOn w:val="Tablanormal"/>
    <w:uiPriority w:val="39"/>
    <w:rsid w:val="00100F8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100F8C"/>
    <w:pPr>
      <w:spacing w:after="160" w:line="259" w:lineRule="auto"/>
      <w:ind w:left="720"/>
      <w:contextualSpacing/>
    </w:pPr>
    <w:rPr>
      <w:rFonts w:asciiTheme="minorHAnsi" w:eastAsiaTheme="minorHAnsi" w:hAnsiTheme="minorHAnsi" w:cstheme="minorBidi"/>
      <w:lang w:eastAsia="en-US"/>
    </w:rPr>
  </w:style>
  <w:style w:type="character" w:styleId="Textoennegrita">
    <w:name w:val="Strong"/>
    <w:basedOn w:val="Fuentedeprrafopredeter"/>
    <w:uiPriority w:val="22"/>
    <w:qFormat/>
    <w:rsid w:val="003D7F0D"/>
    <w:rPr>
      <w:b/>
      <w:bCs/>
    </w:rPr>
  </w:style>
  <w:style w:type="character" w:customStyle="1" w:styleId="apple-converted-space">
    <w:name w:val="apple-converted-space"/>
    <w:basedOn w:val="Fuentedeprrafopredeter"/>
    <w:rsid w:val="001F266A"/>
  </w:style>
  <w:style w:type="character" w:styleId="Hipervnculovisitado">
    <w:name w:val="FollowedHyperlink"/>
    <w:basedOn w:val="Fuentedeprrafopredeter"/>
    <w:uiPriority w:val="99"/>
    <w:semiHidden/>
    <w:unhideWhenUsed/>
    <w:rsid w:val="001F266A"/>
    <w:rPr>
      <w:color w:val="954F72" w:themeColor="followedHyperlink"/>
      <w:u w:val="single"/>
    </w:rPr>
  </w:style>
  <w:style w:type="paragraph" w:styleId="NormalWeb">
    <w:name w:val="Normal (Web)"/>
    <w:basedOn w:val="Normal"/>
    <w:uiPriority w:val="99"/>
    <w:unhideWhenUsed/>
    <w:rsid w:val="00390D0D"/>
    <w:pPr>
      <w:spacing w:before="100" w:beforeAutospacing="1" w:after="100" w:afterAutospacing="1" w:line="240" w:lineRule="auto"/>
    </w:pPr>
    <w:rPr>
      <w:rFonts w:ascii="Times New Roman" w:hAnsi="Times New Roman"/>
      <w:sz w:val="24"/>
      <w:szCs w:val="24"/>
    </w:rPr>
  </w:style>
  <w:style w:type="character" w:customStyle="1" w:styleId="Ttulo3Car">
    <w:name w:val="Título 3 Car"/>
    <w:basedOn w:val="Fuentedeprrafopredeter"/>
    <w:link w:val="Ttulo3"/>
    <w:uiPriority w:val="9"/>
    <w:semiHidden/>
    <w:rsid w:val="0052535E"/>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centrodeinvestigacion@ciidesbic.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QBaGO+65RTSXlmtgJggGTT+0hg==">CgMxLjAyDmguZ2QxZ25wbGJxYzRqMg5oLmt4MWt6ZjR5c3kxaTgAciExVDBnc1JrNnA1X3AzY0V6TWZ0c2xKelVxWWtMRElsOHY=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4217</Words>
  <Characters>23198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Falla Cleves</dc:creator>
  <cp:lastModifiedBy>DIDIMO  NAZARIT CALDERON</cp:lastModifiedBy>
  <cp:revision>2</cp:revision>
  <dcterms:created xsi:type="dcterms:W3CDTF">2025-03-19T22:24:00Z</dcterms:created>
  <dcterms:modified xsi:type="dcterms:W3CDTF">2025-06-17T21:58:00Z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guracion">
    <vt:lpwstr>{"ComposicionDestinatarios":["NOMBRE_DESTINATARIO","CARGO_DESTINATARIO","ENTIDAD_DESTINATARIO","DEPENDENCIA_DESTINATARIO","DIRECCION_DESTINATARIO","TELEFONO_DESTINATARIO","CIUDAD_DESTINATARIO"]}</vt:lpwstr>
  </property>
  <property fmtid="{D5CDD505-2E9C-101B-9397-08002B2CF9AE}" pid="3" name="DocumentoUnico">
    <vt:bool>false</vt:bool>
  </property>
  <property fmtid="{D5CDD505-2E9C-101B-9397-08002B2CF9AE}" pid="4" name="KSOProductBuildVer">
    <vt:lpwstr>2058-10.1.0.5672</vt:lpwstr>
  </property>
  <property fmtid="{D5CDD505-2E9C-101B-9397-08002B2CF9AE}" pid="5" name="RotuloPosicionX">
    <vt:i4>30</vt:i4>
  </property>
  <property fmtid="{D5CDD505-2E9C-101B-9397-08002B2CF9AE}" pid="6" name="RotuloPosicionY">
    <vt:i4>27</vt:i4>
  </property>
</Properties>
</file>